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A7D" w:rsidRDefault="00805A7D" w:rsidP="00805A7D">
      <w:pPr>
        <w:pStyle w:val="a5"/>
        <w:jc w:val="center"/>
        <w:rPr>
          <w:rFonts w:cs="FrankRuehl"/>
          <w:noProof w:val="0"/>
          <w:sz w:val="28"/>
          <w:szCs w:val="28"/>
        </w:rPr>
      </w:pPr>
      <w:bookmarkStart w:id="0" w:name="_GoBack"/>
      <w:bookmarkEnd w:id="0"/>
      <w:r>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5001"/>
        <w:gridCol w:w="3639"/>
      </w:tblGrid>
      <w:tr w:rsidR="00805A7D" w:rsidTr="00805A7D">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805A7D" w:rsidRDefault="00805A7D">
                <w:pPr>
                  <w:pStyle w:val="a5"/>
                  <w:jc w:val="center"/>
                  <w:rPr>
                    <w:rFonts w:ascii="Tahoma" w:hAnsi="Tahoma"/>
                    <w:color w:val="000080"/>
                    <w:sz w:val="32"/>
                    <w:szCs w:val="32"/>
                    <w:rtl/>
                  </w:rPr>
                </w:pPr>
                <w:r>
                  <w:rPr>
                    <w:rFonts w:ascii="Tahoma" w:hAnsi="Tahoma"/>
                    <w:color w:val="000080"/>
                    <w:sz w:val="32"/>
                    <w:szCs w:val="32"/>
                    <w:rtl/>
                  </w:rPr>
                  <w:t>בית משפט לענייני משפחה באילת</w:t>
                </w:r>
              </w:p>
            </w:tc>
          </w:sdtContent>
        </w:sdt>
      </w:tr>
      <w:tr w:rsidR="00805A7D" w:rsidTr="00805A7D">
        <w:trPr>
          <w:trHeight w:val="337"/>
          <w:jc w:val="center"/>
        </w:trPr>
        <w:tc>
          <w:tcPr>
            <w:tcW w:w="5047" w:type="dxa"/>
          </w:tcPr>
          <w:p w:rsidR="00805A7D" w:rsidRDefault="00805A7D">
            <w:pPr>
              <w:rPr>
                <w:b/>
                <w:bCs/>
                <w:noProof w:val="0"/>
                <w:sz w:val="26"/>
                <w:szCs w:val="26"/>
                <w:rtl/>
              </w:rPr>
            </w:pPr>
          </w:p>
        </w:tc>
        <w:tc>
          <w:tcPr>
            <w:tcW w:w="3674" w:type="dxa"/>
          </w:tcPr>
          <w:p w:rsidR="00805A7D" w:rsidRDefault="00805A7D">
            <w:pPr>
              <w:pStyle w:val="a5"/>
              <w:jc w:val="right"/>
              <w:rPr>
                <w:b/>
                <w:bCs/>
                <w:noProof w:val="0"/>
                <w:sz w:val="26"/>
                <w:szCs w:val="26"/>
                <w:rtl/>
              </w:rPr>
            </w:pPr>
          </w:p>
        </w:tc>
      </w:tr>
      <w:tr w:rsidR="00805A7D" w:rsidTr="00805A7D">
        <w:trPr>
          <w:trHeight w:val="337"/>
          <w:jc w:val="center"/>
        </w:trPr>
        <w:tc>
          <w:tcPr>
            <w:tcW w:w="8721" w:type="dxa"/>
            <w:gridSpan w:val="2"/>
          </w:tcPr>
          <w:p w:rsidR="00805A7D" w:rsidRDefault="00805A7D" w:rsidP="00805A7D">
            <w:pPr>
              <w:rPr>
                <w:b/>
                <w:bCs/>
                <w:noProof w:val="0"/>
                <w:sz w:val="26"/>
                <w:szCs w:val="26"/>
                <w:rtl/>
              </w:rPr>
            </w:pPr>
            <w:proofErr w:type="spellStart"/>
            <w:r>
              <w:rPr>
                <w:b/>
                <w:bCs/>
                <w:noProof w:val="0"/>
                <w:sz w:val="26"/>
                <w:szCs w:val="26"/>
                <w:rtl/>
              </w:rPr>
              <w:t>תמ"ש</w:t>
            </w:r>
            <w:proofErr w:type="spellEnd"/>
            <w:r>
              <w:rPr>
                <w:b/>
                <w:bCs/>
                <w:noProof w:val="0"/>
                <w:sz w:val="26"/>
                <w:szCs w:val="26"/>
                <w:rtl/>
              </w:rPr>
              <w:t xml:space="preserve"> 49581-12-22 ב</w:t>
            </w:r>
            <w:r>
              <w:rPr>
                <w:rFonts w:hint="cs"/>
                <w:b/>
                <w:bCs/>
                <w:noProof w:val="0"/>
                <w:sz w:val="26"/>
                <w:szCs w:val="26"/>
                <w:rtl/>
              </w:rPr>
              <w:t>.</w:t>
            </w:r>
            <w:r>
              <w:rPr>
                <w:b/>
                <w:bCs/>
                <w:noProof w:val="0"/>
                <w:sz w:val="26"/>
                <w:szCs w:val="26"/>
                <w:rtl/>
              </w:rPr>
              <w:t xml:space="preserve"> נ' ס ואח'</w:t>
            </w:r>
          </w:p>
          <w:p w:rsidR="00805A7D" w:rsidRDefault="00805A7D">
            <w:pPr>
              <w:rPr>
                <w:b/>
                <w:bCs/>
                <w:noProof w:val="0"/>
                <w:sz w:val="2"/>
                <w:szCs w:val="2"/>
                <w:rtl/>
              </w:rPr>
            </w:pPr>
          </w:p>
          <w:p w:rsidR="00805A7D" w:rsidRDefault="00805A7D">
            <w:pPr>
              <w:rPr>
                <w:sz w:val="20"/>
                <w:szCs w:val="20"/>
                <w:rtl/>
              </w:rPr>
            </w:pPr>
            <w:r>
              <w:rPr>
                <w:rtl/>
              </w:rPr>
              <w:t xml:space="preserve">                           </w:t>
            </w:r>
            <w:r>
              <w:rPr>
                <w:sz w:val="20"/>
                <w:szCs w:val="20"/>
                <w:rtl/>
              </w:rPr>
              <w:t xml:space="preserve">                                       </w:t>
            </w:r>
          </w:p>
          <w:p w:rsidR="00805A7D" w:rsidRDefault="00805A7D">
            <w:pPr>
              <w:rPr>
                <w:sz w:val="20"/>
                <w:szCs w:val="20"/>
                <w:rtl/>
              </w:rPr>
            </w:pPr>
          </w:p>
        </w:tc>
      </w:tr>
    </w:tbl>
    <w:p w:rsidR="00805A7D" w:rsidRDefault="00805A7D">
      <w:pPr>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05A7D" w:rsidTr="00805A7D">
        <w:trPr>
          <w:jc w:val="center"/>
        </w:trPr>
        <w:tc>
          <w:tcPr>
            <w:tcW w:w="743" w:type="dxa"/>
            <w:hideMark/>
          </w:tcPr>
          <w:p w:rsidR="00805A7D" w:rsidRDefault="00805A7D">
            <w:pPr>
              <w:suppressLineNumbers/>
              <w:spacing w:line="360" w:lineRule="auto"/>
              <w:jc w:val="both"/>
              <w:rPr>
                <w:rFonts w:ascii="Arial" w:hAnsi="Arial"/>
                <w:b/>
                <w:bCs/>
                <w:sz w:val="26"/>
                <w:szCs w:val="26"/>
              </w:rPr>
            </w:pPr>
            <w:r>
              <w:rPr>
                <w:rFonts w:ascii="Arial" w:hAnsi="Arial"/>
                <w:b/>
                <w:bCs/>
                <w:sz w:val="26"/>
                <w:szCs w:val="26"/>
                <w:rtl/>
              </w:rPr>
              <w:t xml:space="preserve">לפני </w:t>
            </w:r>
          </w:p>
        </w:tc>
        <w:tc>
          <w:tcPr>
            <w:tcW w:w="8077" w:type="dxa"/>
            <w:gridSpan w:val="2"/>
          </w:tcPr>
          <w:p w:rsidR="00805A7D" w:rsidRDefault="00805A7D" w:rsidP="00B43414">
            <w:pPr>
              <w:suppressLineNumbers/>
              <w:spacing w:line="360" w:lineRule="auto"/>
              <w:jc w:val="left"/>
              <w:rPr>
                <w:rFonts w:ascii="Arial" w:hAnsi="Arial" w:cs="FrankRuehl"/>
                <w:sz w:val="26"/>
                <w:szCs w:val="26"/>
                <w:highlight w:val="yellow"/>
                <w:rtl/>
              </w:rPr>
            </w:pPr>
            <w:r>
              <w:rPr>
                <w:rFonts w:ascii="Arial" w:hAnsi="Arial"/>
                <w:b/>
                <w:bCs/>
                <w:sz w:val="26"/>
                <w:szCs w:val="26"/>
                <w:rtl/>
              </w:rPr>
              <w:t>כב' השופט הבכיר, מרדכי (מוטי) לוי</w:t>
            </w:r>
          </w:p>
        </w:tc>
      </w:tr>
      <w:tr w:rsidR="00805A7D" w:rsidTr="00805A7D">
        <w:trPr>
          <w:jc w:val="center"/>
        </w:trPr>
        <w:tc>
          <w:tcPr>
            <w:tcW w:w="3249" w:type="dxa"/>
            <w:gridSpan w:val="2"/>
          </w:tcPr>
          <w:p w:rsidR="00805A7D" w:rsidRDefault="00805A7D">
            <w:pPr>
              <w:suppressLineNumbers/>
              <w:spacing w:line="276" w:lineRule="auto"/>
              <w:rPr>
                <w:rFonts w:ascii="Arial" w:hAnsi="Arial"/>
                <w:b/>
                <w:bCs/>
                <w:noProof w:val="0"/>
                <w:sz w:val="26"/>
                <w:szCs w:val="26"/>
              </w:rPr>
            </w:pPr>
          </w:p>
          <w:p w:rsidR="00805A7D" w:rsidRDefault="00805A7D">
            <w:pPr>
              <w:suppressLineNumbers/>
              <w:spacing w:line="276" w:lineRule="auto"/>
              <w:jc w:val="left"/>
              <w:rPr>
                <w:rFonts w:ascii="Arial" w:hAnsi="Arial"/>
                <w:b/>
                <w:bCs/>
                <w:noProof w:val="0"/>
                <w:sz w:val="26"/>
                <w:szCs w:val="26"/>
              </w:rPr>
            </w:pPr>
            <w:r>
              <w:rPr>
                <w:rFonts w:ascii="Arial" w:hAnsi="Arial"/>
                <w:b/>
                <w:bCs/>
                <w:noProof w:val="0"/>
                <w:sz w:val="26"/>
                <w:szCs w:val="26"/>
                <w:rtl/>
              </w:rPr>
              <w:t>מבקשים</w:t>
            </w:r>
          </w:p>
        </w:tc>
        <w:tc>
          <w:tcPr>
            <w:tcW w:w="5571" w:type="dxa"/>
          </w:tcPr>
          <w:p w:rsidR="00805A7D" w:rsidRDefault="00805A7D">
            <w:pPr>
              <w:suppressLineNumbers/>
              <w:spacing w:line="276" w:lineRule="auto"/>
              <w:rPr>
                <w:rFonts w:ascii="Arial" w:hAnsi="Arial"/>
                <w:b/>
                <w:bCs/>
                <w:noProof w:val="0"/>
                <w:sz w:val="26"/>
                <w:szCs w:val="26"/>
                <w:rtl/>
              </w:rPr>
            </w:pPr>
          </w:p>
          <w:p w:rsidR="00805A7D" w:rsidRDefault="00805A7D" w:rsidP="00805A7D">
            <w:pPr>
              <w:suppressLineNumbers/>
              <w:spacing w:line="276" w:lineRule="auto"/>
              <w:jc w:val="left"/>
              <w:rPr>
                <w:b/>
                <w:bCs/>
                <w:sz w:val="26"/>
                <w:szCs w:val="26"/>
                <w:rtl/>
              </w:rPr>
            </w:pPr>
            <w:r>
              <w:rPr>
                <w:rFonts w:ascii="Arial" w:hAnsi="Arial"/>
                <w:b/>
                <w:bCs/>
                <w:noProof w:val="0"/>
                <w:sz w:val="26"/>
                <w:szCs w:val="26"/>
                <w:rtl/>
              </w:rPr>
              <w:t>1.</w:t>
            </w:r>
            <w:r>
              <w:rPr>
                <w:rFonts w:ascii="Arial" w:hAnsi="Arial"/>
                <w:b/>
                <w:bCs/>
                <w:sz w:val="26"/>
                <w:szCs w:val="26"/>
                <w:rtl/>
              </w:rPr>
              <w:t xml:space="preserve"> ש</w:t>
            </w:r>
            <w:r>
              <w:rPr>
                <w:rFonts w:ascii="Arial" w:hAnsi="Arial" w:hint="cs"/>
                <w:b/>
                <w:bCs/>
                <w:sz w:val="26"/>
                <w:szCs w:val="26"/>
                <w:rtl/>
              </w:rPr>
              <w:t xml:space="preserve">. </w:t>
            </w:r>
            <w:r>
              <w:rPr>
                <w:rFonts w:ascii="Arial" w:hAnsi="Arial"/>
                <w:b/>
                <w:bCs/>
                <w:sz w:val="26"/>
                <w:szCs w:val="26"/>
                <w:rtl/>
              </w:rPr>
              <w:t>ס</w:t>
            </w:r>
            <w:r>
              <w:rPr>
                <w:rFonts w:ascii="Arial" w:hAnsi="Arial" w:hint="cs"/>
                <w:b/>
                <w:bCs/>
                <w:sz w:val="26"/>
                <w:szCs w:val="26"/>
                <w:rtl/>
              </w:rPr>
              <w:t>.</w:t>
            </w:r>
          </w:p>
          <w:p w:rsidR="00805A7D" w:rsidRDefault="00805A7D" w:rsidP="00805A7D">
            <w:pPr>
              <w:spacing w:line="276" w:lineRule="auto"/>
              <w:jc w:val="left"/>
              <w:rPr>
                <w:rtl/>
              </w:rPr>
            </w:pPr>
            <w:r>
              <w:rPr>
                <w:rFonts w:ascii="Arial" w:hAnsi="Arial"/>
                <w:b/>
                <w:bCs/>
                <w:noProof w:val="0"/>
                <w:sz w:val="26"/>
                <w:szCs w:val="26"/>
                <w:rtl/>
              </w:rPr>
              <w:t>2. נ</w:t>
            </w:r>
            <w:r>
              <w:rPr>
                <w:rFonts w:ascii="Arial" w:hAnsi="Arial" w:hint="cs"/>
                <w:b/>
                <w:bCs/>
                <w:noProof w:val="0"/>
                <w:sz w:val="26"/>
                <w:szCs w:val="26"/>
                <w:rtl/>
              </w:rPr>
              <w:t>.</w:t>
            </w:r>
            <w:r>
              <w:rPr>
                <w:rFonts w:ascii="Arial" w:hAnsi="Arial"/>
                <w:b/>
                <w:bCs/>
                <w:noProof w:val="0"/>
                <w:sz w:val="26"/>
                <w:szCs w:val="26"/>
                <w:rtl/>
              </w:rPr>
              <w:t xml:space="preserve"> ס</w:t>
            </w:r>
            <w:r>
              <w:rPr>
                <w:rFonts w:ascii="Arial" w:hAnsi="Arial" w:hint="cs"/>
                <w:b/>
                <w:bCs/>
                <w:noProof w:val="0"/>
                <w:sz w:val="26"/>
                <w:szCs w:val="26"/>
                <w:rtl/>
              </w:rPr>
              <w:t>.</w:t>
            </w:r>
          </w:p>
          <w:p w:rsidR="00805A7D" w:rsidRDefault="00805A7D">
            <w:pPr>
              <w:spacing w:line="276" w:lineRule="auto"/>
              <w:jc w:val="left"/>
              <w:rPr>
                <w:rtl/>
              </w:rPr>
            </w:pPr>
            <w:r>
              <w:rPr>
                <w:b/>
                <w:bCs/>
                <w:rtl/>
              </w:rPr>
              <w:t xml:space="preserve">     </w:t>
            </w:r>
            <w:r>
              <w:rPr>
                <w:rtl/>
              </w:rPr>
              <w:t>שניהם  מיוצגים ע"י עו"ד מוטי שטרית</w:t>
            </w:r>
          </w:p>
        </w:tc>
      </w:tr>
      <w:tr w:rsidR="00805A7D" w:rsidTr="00805A7D">
        <w:trPr>
          <w:jc w:val="center"/>
        </w:trPr>
        <w:tc>
          <w:tcPr>
            <w:tcW w:w="8820" w:type="dxa"/>
            <w:gridSpan w:val="3"/>
          </w:tcPr>
          <w:p w:rsidR="00805A7D" w:rsidRDefault="00805A7D">
            <w:pPr>
              <w:suppressLineNumbers/>
              <w:spacing w:line="360" w:lineRule="auto"/>
              <w:rPr>
                <w:rFonts w:ascii="Arial" w:hAnsi="Arial"/>
                <w:b/>
                <w:bCs/>
                <w:noProof w:val="0"/>
                <w:sz w:val="26"/>
                <w:szCs w:val="26"/>
              </w:rPr>
            </w:pPr>
          </w:p>
          <w:p w:rsidR="00805A7D" w:rsidRDefault="00805A7D">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tc>
      </w:tr>
      <w:tr w:rsidR="00805A7D" w:rsidTr="00805A7D">
        <w:trPr>
          <w:jc w:val="center"/>
        </w:trPr>
        <w:tc>
          <w:tcPr>
            <w:tcW w:w="3249" w:type="dxa"/>
            <w:gridSpan w:val="2"/>
          </w:tcPr>
          <w:p w:rsidR="00805A7D" w:rsidRDefault="00805A7D">
            <w:pPr>
              <w:suppressLineNumbers/>
              <w:spacing w:line="276" w:lineRule="auto"/>
              <w:rPr>
                <w:rFonts w:ascii="Arial" w:hAnsi="Arial"/>
                <w:b/>
                <w:bCs/>
                <w:noProof w:val="0"/>
                <w:sz w:val="26"/>
                <w:szCs w:val="26"/>
              </w:rPr>
            </w:pPr>
          </w:p>
          <w:p w:rsidR="00805A7D" w:rsidRDefault="00805A7D">
            <w:pPr>
              <w:suppressLineNumbers/>
              <w:spacing w:line="276" w:lineRule="auto"/>
              <w:jc w:val="left"/>
              <w:rPr>
                <w:rFonts w:ascii="Arial" w:hAnsi="Arial"/>
                <w:b/>
                <w:bCs/>
                <w:noProof w:val="0"/>
                <w:sz w:val="26"/>
                <w:szCs w:val="26"/>
                <w:rtl/>
              </w:rPr>
            </w:pPr>
            <w:r>
              <w:rPr>
                <w:rFonts w:ascii="Arial" w:hAnsi="Arial"/>
                <w:b/>
                <w:bCs/>
                <w:noProof w:val="0"/>
                <w:sz w:val="26"/>
                <w:szCs w:val="26"/>
                <w:rtl/>
              </w:rPr>
              <w:t>משיב</w:t>
            </w:r>
          </w:p>
        </w:tc>
        <w:tc>
          <w:tcPr>
            <w:tcW w:w="5571" w:type="dxa"/>
          </w:tcPr>
          <w:p w:rsidR="00805A7D" w:rsidRDefault="00805A7D">
            <w:pPr>
              <w:suppressLineNumbers/>
              <w:spacing w:line="276" w:lineRule="auto"/>
              <w:rPr>
                <w:rFonts w:ascii="Arial" w:hAnsi="Arial"/>
                <w:b/>
                <w:bCs/>
                <w:noProof w:val="0"/>
                <w:sz w:val="26"/>
                <w:szCs w:val="26"/>
              </w:rPr>
            </w:pPr>
          </w:p>
          <w:p w:rsidR="00805A7D" w:rsidRDefault="00805A7D" w:rsidP="00805A7D">
            <w:pPr>
              <w:suppressLineNumbers/>
              <w:spacing w:line="276" w:lineRule="auto"/>
              <w:jc w:val="left"/>
              <w:rPr>
                <w:b/>
                <w:bCs/>
                <w:noProof w:val="0"/>
                <w:sz w:val="26"/>
                <w:szCs w:val="26"/>
                <w:rtl/>
              </w:rPr>
            </w:pPr>
            <w:r>
              <w:rPr>
                <w:rFonts w:ascii="Arial" w:hAnsi="Arial"/>
                <w:b/>
                <w:bCs/>
                <w:noProof w:val="0"/>
                <w:sz w:val="26"/>
                <w:szCs w:val="26"/>
                <w:rtl/>
              </w:rPr>
              <w:t>א</w:t>
            </w:r>
            <w:r>
              <w:rPr>
                <w:rFonts w:ascii="Arial" w:hAnsi="Arial" w:hint="cs"/>
                <w:b/>
                <w:bCs/>
                <w:noProof w:val="0"/>
                <w:sz w:val="26"/>
                <w:szCs w:val="26"/>
                <w:rtl/>
              </w:rPr>
              <w:t xml:space="preserve">. </w:t>
            </w:r>
            <w:r>
              <w:rPr>
                <w:rFonts w:ascii="Arial" w:hAnsi="Arial"/>
                <w:b/>
                <w:bCs/>
                <w:noProof w:val="0"/>
                <w:sz w:val="26"/>
                <w:szCs w:val="26"/>
                <w:rtl/>
              </w:rPr>
              <w:t>ב</w:t>
            </w:r>
            <w:r>
              <w:rPr>
                <w:rFonts w:ascii="Arial" w:hAnsi="Arial" w:hint="cs"/>
                <w:b/>
                <w:bCs/>
                <w:noProof w:val="0"/>
                <w:sz w:val="26"/>
                <w:szCs w:val="26"/>
                <w:rtl/>
              </w:rPr>
              <w:t xml:space="preserve">. </w:t>
            </w:r>
          </w:p>
          <w:p w:rsidR="00805A7D" w:rsidRDefault="00805A7D">
            <w:pPr>
              <w:suppressLineNumbers/>
              <w:spacing w:line="276" w:lineRule="auto"/>
              <w:jc w:val="left"/>
              <w:rPr>
                <w:noProof w:val="0"/>
                <w:rtl/>
              </w:rPr>
            </w:pPr>
            <w:r>
              <w:rPr>
                <w:noProof w:val="0"/>
                <w:rtl/>
              </w:rPr>
              <w:t>מיוצג ע"י עוה"ד אבי מיכאלי ואח'</w:t>
            </w:r>
          </w:p>
        </w:tc>
      </w:tr>
      <w:tr w:rsidR="00805A7D" w:rsidTr="00805A7D">
        <w:trPr>
          <w:jc w:val="center"/>
        </w:trPr>
        <w:tc>
          <w:tcPr>
            <w:tcW w:w="8820" w:type="dxa"/>
            <w:gridSpan w:val="3"/>
          </w:tcPr>
          <w:p w:rsidR="00805A7D" w:rsidRDefault="00805A7D">
            <w:pPr>
              <w:suppressLineNumbers/>
              <w:spacing w:line="360" w:lineRule="auto"/>
              <w:rPr>
                <w:rFonts w:ascii="Arial" w:hAnsi="Arial"/>
                <w:b/>
                <w:bCs/>
                <w:noProof w:val="0"/>
                <w:sz w:val="26"/>
                <w:szCs w:val="26"/>
                <w:rtl/>
              </w:rPr>
            </w:pPr>
          </w:p>
        </w:tc>
      </w:tr>
      <w:tr w:rsidR="00805A7D" w:rsidTr="00805A7D">
        <w:trPr>
          <w:jc w:val="center"/>
        </w:trPr>
        <w:tc>
          <w:tcPr>
            <w:tcW w:w="8820" w:type="dxa"/>
            <w:gridSpan w:val="3"/>
          </w:tcPr>
          <w:p w:rsidR="00805A7D" w:rsidRDefault="00805A7D">
            <w:pPr>
              <w:bidi w:val="0"/>
              <w:spacing w:line="276" w:lineRule="auto"/>
              <w:jc w:val="center"/>
              <w:rPr>
                <w:rFonts w:ascii="Arial" w:hAnsi="Arial"/>
                <w:b/>
                <w:bCs/>
                <w:noProof w:val="0"/>
                <w:sz w:val="28"/>
                <w:szCs w:val="28"/>
                <w:u w:val="single"/>
                <w:rtl/>
              </w:rPr>
            </w:pPr>
            <w:r>
              <w:rPr>
                <w:rFonts w:ascii="Arial" w:hAnsi="Arial"/>
                <w:b/>
                <w:bCs/>
                <w:noProof w:val="0"/>
                <w:sz w:val="28"/>
                <w:szCs w:val="28"/>
                <w:u w:val="single"/>
                <w:rtl/>
              </w:rPr>
              <w:t>החלטה</w:t>
            </w:r>
          </w:p>
          <w:p w:rsidR="00805A7D" w:rsidRDefault="00805A7D">
            <w:pPr>
              <w:bidi w:val="0"/>
              <w:spacing w:line="276" w:lineRule="auto"/>
              <w:jc w:val="center"/>
              <w:rPr>
                <w:rFonts w:ascii="Arial" w:hAnsi="Arial"/>
                <w:b/>
                <w:bCs/>
                <w:noProof w:val="0"/>
                <w:u w:val="single"/>
              </w:rPr>
            </w:pPr>
            <w:r>
              <w:rPr>
                <w:rFonts w:ascii="Arial" w:hAnsi="Arial"/>
                <w:b/>
                <w:bCs/>
                <w:noProof w:val="0"/>
                <w:u w:val="single"/>
                <w:rtl/>
              </w:rPr>
              <w:t>בבקשה לביטול פסק דין שניתן בהעדר הגנה</w:t>
            </w:r>
          </w:p>
          <w:p w:rsidR="00805A7D" w:rsidRDefault="00805A7D">
            <w:pPr>
              <w:bidi w:val="0"/>
              <w:spacing w:line="276" w:lineRule="auto"/>
              <w:jc w:val="center"/>
              <w:rPr>
                <w:rFonts w:ascii="Arial" w:hAnsi="Arial"/>
                <w:b/>
                <w:bCs/>
                <w:noProof w:val="0"/>
                <w:sz w:val="28"/>
                <w:szCs w:val="28"/>
                <w:u w:val="single"/>
                <w:rtl/>
              </w:rPr>
            </w:pPr>
          </w:p>
        </w:tc>
      </w:tr>
    </w:tbl>
    <w:p w:rsidR="00805A7D" w:rsidRDefault="00805A7D" w:rsidP="00805A7D">
      <w:pPr>
        <w:spacing w:line="360" w:lineRule="auto"/>
        <w:ind w:left="-7" w:firstLine="7"/>
        <w:jc w:val="both"/>
        <w:rPr>
          <w:rFonts w:ascii="David" w:hAnsi="David"/>
        </w:rPr>
      </w:pPr>
      <w:bookmarkStart w:id="1" w:name="NGCSBookmark"/>
      <w:bookmarkEnd w:id="1"/>
      <w:r>
        <w:rPr>
          <w:rFonts w:ascii="David" w:hAnsi="David"/>
          <w:rtl/>
        </w:rPr>
        <w:t>עניינה של החלטה זו הוא בקשה לביטול פסק דין שניתן בהעדר הגנה ובמעמד צד אחד (להלן-</w:t>
      </w:r>
      <w:r>
        <w:rPr>
          <w:rFonts w:ascii="Miriam" w:hAnsi="Miriam" w:cs="Miriam"/>
          <w:b/>
          <w:bCs/>
          <w:rtl/>
        </w:rPr>
        <w:t>פסק</w:t>
      </w:r>
      <w:r>
        <w:rPr>
          <w:rFonts w:ascii="David" w:hAnsi="David"/>
          <w:b/>
          <w:bCs/>
          <w:rtl/>
        </w:rPr>
        <w:t xml:space="preserve">   </w:t>
      </w:r>
      <w:r>
        <w:rPr>
          <w:rFonts w:ascii="Miriam" w:hAnsi="Miriam" w:cs="Miriam"/>
          <w:b/>
          <w:bCs/>
          <w:rtl/>
        </w:rPr>
        <w:t>הדין</w:t>
      </w:r>
      <w:r>
        <w:rPr>
          <w:rFonts w:ascii="David" w:hAnsi="David"/>
          <w:b/>
          <w:bCs/>
          <w:rtl/>
        </w:rPr>
        <w:t>)</w:t>
      </w:r>
      <w:r>
        <w:rPr>
          <w:rFonts w:ascii="David" w:hAnsi="David"/>
          <w:rtl/>
        </w:rPr>
        <w:t>.</w:t>
      </w:r>
    </w:p>
    <w:p w:rsidR="00805A7D" w:rsidRDefault="00805A7D" w:rsidP="00805A7D">
      <w:pPr>
        <w:spacing w:line="360" w:lineRule="auto"/>
        <w:ind w:left="-7" w:firstLine="7"/>
        <w:jc w:val="both"/>
        <w:rPr>
          <w:rFonts w:ascii="David" w:hAnsi="David"/>
          <w:rtl/>
        </w:rPr>
      </w:pPr>
    </w:p>
    <w:p w:rsidR="00805A7D" w:rsidRDefault="00805A7D" w:rsidP="00805A7D">
      <w:pPr>
        <w:pStyle w:val="Ruller40"/>
        <w:rPr>
          <w:rFonts w:ascii="David" w:eastAsiaTheme="minorHAnsi" w:hAnsi="David" w:cs="David"/>
          <w:b/>
          <w:bCs/>
          <w:spacing w:val="0"/>
          <w:kern w:val="0"/>
          <w:sz w:val="26"/>
          <w:szCs w:val="26"/>
          <w:rtl/>
          <w14:ligatures w14:val="none"/>
        </w:rPr>
      </w:pPr>
      <w:r>
        <w:rPr>
          <w:rFonts w:ascii="David" w:eastAsiaTheme="minorHAnsi" w:hAnsi="David" w:cs="David"/>
          <w:b/>
          <w:bCs/>
          <w:spacing w:val="0"/>
          <w:kern w:val="0"/>
          <w:sz w:val="26"/>
          <w:szCs w:val="26"/>
          <w:u w:val="single"/>
          <w:rtl/>
          <w14:ligatures w14:val="none"/>
        </w:rPr>
        <w:t>הרקע העובדתי הנדרש</w:t>
      </w:r>
      <w:r>
        <w:rPr>
          <w:rFonts w:ascii="David" w:eastAsiaTheme="minorHAnsi" w:hAnsi="David" w:cs="David"/>
          <w:b/>
          <w:bCs/>
          <w:spacing w:val="0"/>
          <w:kern w:val="0"/>
          <w:sz w:val="26"/>
          <w:szCs w:val="26"/>
          <w:rtl/>
          <w14:ligatures w14:val="none"/>
        </w:rPr>
        <w:t>:</w:t>
      </w:r>
    </w:p>
    <w:p w:rsidR="00805A7D" w:rsidRDefault="00805A7D" w:rsidP="00805A7D">
      <w:pPr>
        <w:pStyle w:val="Ruller40"/>
        <w:rPr>
          <w:rFonts w:ascii="David" w:eastAsiaTheme="minorHAnsi" w:hAnsi="David" w:cs="David"/>
          <w:spacing w:val="0"/>
          <w:kern w:val="0"/>
          <w:sz w:val="24"/>
          <w:szCs w:val="24"/>
          <w:rtl/>
          <w14:ligatures w14:val="none"/>
        </w:rPr>
      </w:pPr>
    </w:p>
    <w:p w:rsidR="00805A7D" w:rsidRDefault="00805A7D" w:rsidP="00805A7D">
      <w:pPr>
        <w:pStyle w:val="Ruller40"/>
        <w:tabs>
          <w:tab w:val="left" w:pos="-5961"/>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w:t>
      </w:r>
      <w:r>
        <w:rPr>
          <w:rFonts w:ascii="David" w:eastAsiaTheme="minorHAnsi" w:hAnsi="David" w:cs="David"/>
          <w:spacing w:val="0"/>
          <w:kern w:val="0"/>
          <w:sz w:val="24"/>
          <w:szCs w:val="24"/>
          <w:rtl/>
          <w14:ligatures w14:val="none"/>
        </w:rPr>
        <w:tab/>
        <w:t>כתב התביעה הוגש ביום 22.12.2022. ביום 24.12.2022 ניתנה החלטה "</w:t>
      </w:r>
      <w:r>
        <w:rPr>
          <w:rFonts w:ascii="David" w:eastAsiaTheme="minorHAnsi" w:hAnsi="David" w:cs="David"/>
          <w:b/>
          <w:bCs/>
          <w:spacing w:val="0"/>
          <w:kern w:val="0"/>
          <w:sz w:val="24"/>
          <w:szCs w:val="24"/>
          <w:rtl/>
          <w14:ligatures w14:val="none"/>
        </w:rPr>
        <w:t>נקבע לדיון ליום 23.4.2023 בשעה 11:00</w:t>
      </w:r>
      <w:r>
        <w:rPr>
          <w:rFonts w:ascii="David" w:eastAsiaTheme="minorHAnsi" w:hAnsi="David" w:cs="David"/>
          <w:spacing w:val="0"/>
          <w:kern w:val="0"/>
          <w:sz w:val="24"/>
          <w:szCs w:val="24"/>
          <w:rtl/>
          <w14:ligatures w14:val="none"/>
        </w:rPr>
        <w:t xml:space="preserve">". </w:t>
      </w:r>
    </w:p>
    <w:p w:rsidR="00805A7D" w:rsidRDefault="00805A7D" w:rsidP="00805A7D">
      <w:pPr>
        <w:pStyle w:val="Ruller40"/>
        <w:rPr>
          <w:rFonts w:ascii="David" w:eastAsiaTheme="minorHAnsi" w:hAnsi="David" w:cs="David"/>
          <w:spacing w:val="0"/>
          <w:kern w:val="0"/>
          <w:sz w:val="24"/>
          <w:szCs w:val="24"/>
          <w:rtl/>
          <w14:ligatures w14:val="none"/>
        </w:rPr>
      </w:pPr>
    </w:p>
    <w:p w:rsidR="00805A7D" w:rsidRDefault="00805A7D" w:rsidP="00805A7D">
      <w:pPr>
        <w:pStyle w:val="Ruller40"/>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2.</w:t>
      </w:r>
      <w:r>
        <w:rPr>
          <w:rFonts w:ascii="David" w:eastAsiaTheme="minorHAnsi" w:hAnsi="David" w:cs="David"/>
          <w:spacing w:val="0"/>
          <w:kern w:val="0"/>
          <w:sz w:val="24"/>
          <w:szCs w:val="24"/>
          <w:rtl/>
          <w14:ligatures w14:val="none"/>
        </w:rPr>
        <w:tab/>
        <w:t>ביום 26.12.2022 הגיש התובע לתיק "</w:t>
      </w:r>
      <w:r>
        <w:rPr>
          <w:rFonts w:ascii="David" w:eastAsiaTheme="minorHAnsi" w:hAnsi="David" w:cs="David"/>
          <w:spacing w:val="0"/>
          <w:kern w:val="0"/>
          <w:sz w:val="24"/>
          <w:szCs w:val="24"/>
          <w:u w:val="single"/>
          <w:rtl/>
          <w14:ligatures w14:val="none"/>
        </w:rPr>
        <w:t>הודעה על המצאה</w:t>
      </w:r>
      <w:r>
        <w:rPr>
          <w:rFonts w:ascii="David" w:eastAsiaTheme="minorHAnsi" w:hAnsi="David" w:cs="David"/>
          <w:spacing w:val="0"/>
          <w:kern w:val="0"/>
          <w:sz w:val="24"/>
          <w:szCs w:val="24"/>
          <w:rtl/>
          <w14:ligatures w14:val="none"/>
        </w:rPr>
        <w:t>" (להלן-</w:t>
      </w:r>
      <w:r>
        <w:rPr>
          <w:rFonts w:ascii="Miriam" w:eastAsiaTheme="minorHAnsi" w:hAnsi="Miriam" w:cs="Miriam"/>
          <w:b/>
          <w:bCs/>
          <w:spacing w:val="0"/>
          <w:kern w:val="0"/>
          <w:sz w:val="24"/>
          <w:szCs w:val="24"/>
          <w:rtl/>
          <w14:ligatures w14:val="none"/>
        </w:rPr>
        <w:t>ההודעה הראשונה</w:t>
      </w:r>
      <w:r>
        <w:rPr>
          <w:rFonts w:ascii="David" w:eastAsiaTheme="minorHAnsi" w:hAnsi="David" w:cs="David"/>
          <w:spacing w:val="0"/>
          <w:kern w:val="0"/>
          <w:sz w:val="24"/>
          <w:szCs w:val="24"/>
          <w:rtl/>
          <w14:ligatures w14:val="none"/>
        </w:rPr>
        <w:t xml:space="preserve">). בהודעתו  הודיע ב"כ התובע שכתב התביעה, הזמנה לדין, אישור פתיחת תיק וכן ההחלטה על מועד הדיון מיום 24.12.2022 נמסרו לנתבעים על ידי שליח ביום 25.12.2022. </w:t>
      </w:r>
    </w:p>
    <w:p w:rsidR="00805A7D" w:rsidRDefault="00805A7D" w:rsidP="00805A7D">
      <w:pPr>
        <w:pStyle w:val="Ruller40"/>
        <w:tabs>
          <w:tab w:val="left" w:pos="720"/>
        </w:tabs>
        <w:ind w:left="720" w:hanging="720"/>
        <w:rPr>
          <w:rFonts w:ascii="David" w:eastAsiaTheme="minorHAnsi" w:hAnsi="David" w:cs="David"/>
          <w:spacing w:val="0"/>
          <w:kern w:val="0"/>
          <w:sz w:val="24"/>
          <w:szCs w:val="24"/>
          <w:rtl/>
          <w14:ligatures w14:val="none"/>
        </w:rPr>
      </w:pPr>
    </w:p>
    <w:p w:rsidR="00805A7D" w:rsidRDefault="00805A7D" w:rsidP="00C83FC7">
      <w:pPr>
        <w:pStyle w:val="Ruller40"/>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להודעה צורף תצהיר מוסר של שליח, מר א</w:t>
      </w:r>
      <w:r w:rsidR="00C83FC7">
        <w:rPr>
          <w:rFonts w:ascii="David" w:eastAsiaTheme="minorHAnsi" w:hAnsi="David" w:cs="David" w:hint="cs"/>
          <w:spacing w:val="0"/>
          <w:kern w:val="0"/>
          <w:sz w:val="24"/>
          <w:szCs w:val="24"/>
          <w:rtl/>
          <w14:ligatures w14:val="none"/>
        </w:rPr>
        <w:t>.</w:t>
      </w:r>
      <w:r>
        <w:rPr>
          <w:rFonts w:ascii="David" w:eastAsiaTheme="minorHAnsi" w:hAnsi="David" w:cs="David"/>
          <w:spacing w:val="0"/>
          <w:kern w:val="0"/>
          <w:sz w:val="24"/>
          <w:szCs w:val="24"/>
          <w:rtl/>
          <w14:ligatures w14:val="none"/>
        </w:rPr>
        <w:t>א</w:t>
      </w:r>
      <w:r w:rsidR="00C83FC7">
        <w:rPr>
          <w:rFonts w:ascii="David" w:eastAsiaTheme="minorHAnsi" w:hAnsi="David" w:cs="David" w:hint="cs"/>
          <w:spacing w:val="0"/>
          <w:kern w:val="0"/>
          <w:sz w:val="24"/>
          <w:szCs w:val="24"/>
          <w:rtl/>
          <w14:ligatures w14:val="none"/>
        </w:rPr>
        <w:t>.</w:t>
      </w:r>
      <w:r>
        <w:rPr>
          <w:rFonts w:ascii="David" w:eastAsiaTheme="minorHAnsi" w:hAnsi="David" w:cs="David"/>
          <w:spacing w:val="0"/>
          <w:kern w:val="0"/>
          <w:sz w:val="24"/>
          <w:szCs w:val="24"/>
          <w:rtl/>
          <w14:ligatures w14:val="none"/>
        </w:rPr>
        <w:t xml:space="preserve"> שמו (להלן-</w:t>
      </w:r>
      <w:r>
        <w:rPr>
          <w:rFonts w:ascii="Miriam" w:eastAsiaTheme="minorHAnsi" w:hAnsi="Miriam" w:cs="Miriam"/>
          <w:b/>
          <w:bCs/>
          <w:spacing w:val="0"/>
          <w:kern w:val="0"/>
          <w:sz w:val="24"/>
          <w:szCs w:val="24"/>
          <w:rtl/>
          <w14:ligatures w14:val="none"/>
        </w:rPr>
        <w:t>השליח</w:t>
      </w:r>
      <w:r>
        <w:rPr>
          <w:rFonts w:ascii="David" w:eastAsiaTheme="minorHAnsi" w:hAnsi="David" w:cs="David"/>
          <w:spacing w:val="0"/>
          <w:kern w:val="0"/>
          <w:sz w:val="24"/>
          <w:szCs w:val="24"/>
          <w:rtl/>
          <w14:ligatures w14:val="none"/>
        </w:rPr>
        <w:t>), בו הצהיר ש"</w:t>
      </w:r>
      <w:r>
        <w:rPr>
          <w:rFonts w:ascii="David" w:eastAsiaTheme="minorHAnsi" w:hAnsi="David" w:cs="David"/>
          <w:b/>
          <w:bCs/>
          <w:spacing w:val="0"/>
          <w:kern w:val="0"/>
          <w:sz w:val="24"/>
          <w:szCs w:val="24"/>
          <w:rtl/>
          <w14:ligatures w14:val="none"/>
        </w:rPr>
        <w:t>המסירה נמסרה</w:t>
      </w:r>
      <w:r>
        <w:rPr>
          <w:rFonts w:ascii="David" w:eastAsiaTheme="minorHAnsi" w:hAnsi="David" w:cs="David"/>
          <w:spacing w:val="0"/>
          <w:kern w:val="0"/>
          <w:sz w:val="24"/>
          <w:szCs w:val="24"/>
          <w:rtl/>
          <w14:ligatures w14:val="none"/>
        </w:rPr>
        <w:t>" ביום 25.12.2022 בשעה 14:20  "</w:t>
      </w:r>
      <w:r>
        <w:rPr>
          <w:rFonts w:ascii="David" w:eastAsiaTheme="minorHAnsi" w:hAnsi="David" w:cs="David"/>
          <w:b/>
          <w:bCs/>
          <w:spacing w:val="0"/>
          <w:kern w:val="0"/>
          <w:sz w:val="24"/>
          <w:szCs w:val="24"/>
          <w:rtl/>
          <w14:ligatures w14:val="none"/>
        </w:rPr>
        <w:t>לחייב אשר סירב לחתום</w:t>
      </w:r>
      <w:r>
        <w:rPr>
          <w:rFonts w:ascii="David" w:eastAsiaTheme="minorHAnsi" w:hAnsi="David" w:cs="David"/>
          <w:spacing w:val="0"/>
          <w:kern w:val="0"/>
          <w:sz w:val="24"/>
          <w:szCs w:val="24"/>
          <w:rtl/>
          <w14:ligatures w14:val="none"/>
        </w:rPr>
        <w:t xml:space="preserve">". </w:t>
      </w:r>
    </w:p>
    <w:p w:rsidR="00805A7D" w:rsidRDefault="00805A7D" w:rsidP="00805A7D">
      <w:pPr>
        <w:pStyle w:val="Ruller40"/>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r>
    </w:p>
    <w:p w:rsidR="00805A7D" w:rsidRDefault="00805A7D" w:rsidP="00805A7D">
      <w:pPr>
        <w:pStyle w:val="Ruller40"/>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lastRenderedPageBreak/>
        <w:tab/>
        <w:t>עוד צורף להודעה הראשונה מסמך המכונה "אישור מסירה" בו צוין  שביום 25.12.2022 נמסרו כתב תביעה,  ההחלטה מיום 21.12.2022 (כך במקור) הזמנה לדין וזימון לדיון. אישור המסירה לא כלל פרטים כלשהם על המסירה, שעת המסירה, למי נמסרה, כיצד נמסרה או כל מידע אחר שניתן לציין בטופס המובנה של אותו אישור מסירה. אישור המסירה נחתם ע"י השליח ניקו שמו. בתצהיר, טופס מובנה מוכן מראש, צוין שהמסירה בוצעה בכתובת הנתבעים ביום 25.12.22 בשעה 14:20. בסעיף 4 לטופס זה סומן על גבי הטופס  ש"</w:t>
      </w:r>
      <w:r>
        <w:rPr>
          <w:rFonts w:ascii="David" w:eastAsiaTheme="minorHAnsi" w:hAnsi="David" w:cs="David"/>
          <w:b/>
          <w:bCs/>
          <w:spacing w:val="0"/>
          <w:kern w:val="0"/>
          <w:sz w:val="24"/>
          <w:szCs w:val="24"/>
          <w:rtl/>
          <w14:ligatures w14:val="none"/>
        </w:rPr>
        <w:t>המסירה נמסרה: [</w:t>
      </w:r>
      <w:r>
        <w:rPr>
          <w:rFonts w:ascii="David" w:eastAsiaTheme="minorHAnsi" w:hAnsi="David" w:cs="David"/>
          <w:b/>
          <w:bCs/>
          <w:spacing w:val="0"/>
          <w:kern w:val="0"/>
          <w:sz w:val="24"/>
          <w:szCs w:val="24"/>
          <w14:ligatures w14:val="none"/>
        </w:rPr>
        <w:t>X</w:t>
      </w:r>
      <w:r>
        <w:rPr>
          <w:rFonts w:ascii="David" w:eastAsiaTheme="minorHAnsi" w:hAnsi="David" w:cs="David"/>
          <w:b/>
          <w:bCs/>
          <w:spacing w:val="0"/>
          <w:kern w:val="0"/>
          <w:sz w:val="24"/>
          <w:szCs w:val="24"/>
          <w:rtl/>
          <w14:ligatures w14:val="none"/>
        </w:rPr>
        <w:t>] לחייב אשר סירב לחתום</w:t>
      </w:r>
      <w:r>
        <w:rPr>
          <w:rFonts w:ascii="David" w:eastAsiaTheme="minorHAnsi" w:hAnsi="David" w:cs="David"/>
          <w:spacing w:val="0"/>
          <w:kern w:val="0"/>
          <w:sz w:val="24"/>
          <w:szCs w:val="24"/>
          <w:rtl/>
          <w14:ligatures w14:val="none"/>
        </w:rPr>
        <w:t xml:space="preserve">".  </w:t>
      </w:r>
    </w:p>
    <w:p w:rsidR="00805A7D" w:rsidRDefault="00805A7D" w:rsidP="00805A7D">
      <w:pPr>
        <w:pStyle w:val="Ruller40"/>
        <w:rPr>
          <w:rFonts w:ascii="David" w:eastAsiaTheme="minorHAnsi" w:hAnsi="David" w:cs="David"/>
          <w:spacing w:val="0"/>
          <w:kern w:val="0"/>
          <w:sz w:val="24"/>
          <w:szCs w:val="24"/>
          <w:rtl/>
          <w14:ligatures w14:val="none"/>
        </w:rPr>
      </w:pPr>
    </w:p>
    <w:p w:rsidR="00805A7D" w:rsidRDefault="00805A7D" w:rsidP="00805A7D">
      <w:pPr>
        <w:pStyle w:val="Ruller40"/>
        <w:tabs>
          <w:tab w:val="left" w:pos="720"/>
        </w:tabs>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לבד מהאמור ציין ב"כ התובע ב"</w:t>
      </w:r>
      <w:r>
        <w:rPr>
          <w:rFonts w:ascii="David" w:eastAsiaTheme="minorHAnsi" w:hAnsi="David" w:cs="David"/>
          <w:spacing w:val="0"/>
          <w:kern w:val="0"/>
          <w:sz w:val="24"/>
          <w:szCs w:val="24"/>
          <w:u w:val="single"/>
          <w:rtl/>
          <w14:ligatures w14:val="none"/>
        </w:rPr>
        <w:t>הודעה על המצאה</w:t>
      </w:r>
      <w:r>
        <w:rPr>
          <w:rFonts w:ascii="David" w:eastAsiaTheme="minorHAnsi" w:hAnsi="David" w:cs="David"/>
          <w:spacing w:val="0"/>
          <w:kern w:val="0"/>
          <w:sz w:val="24"/>
          <w:szCs w:val="24"/>
          <w:rtl/>
          <w14:ligatures w14:val="none"/>
        </w:rPr>
        <w:t>" כדלקמן:</w:t>
      </w:r>
    </w:p>
    <w:p w:rsidR="00805A7D" w:rsidRDefault="00805A7D" w:rsidP="00805A7D">
      <w:pPr>
        <w:pStyle w:val="Ruller40"/>
        <w:rPr>
          <w:rFonts w:ascii="David" w:eastAsiaTheme="minorHAnsi" w:hAnsi="David" w:cs="David"/>
          <w:spacing w:val="0"/>
          <w:kern w:val="0"/>
          <w:sz w:val="24"/>
          <w:szCs w:val="24"/>
          <w:rtl/>
          <w14:ligatures w14:val="none"/>
        </w:rPr>
      </w:pPr>
    </w:p>
    <w:p w:rsidR="00805A7D" w:rsidRDefault="00805A7D" w:rsidP="00805A7D">
      <w:pPr>
        <w:pStyle w:val="Ruller40"/>
        <w:tabs>
          <w:tab w:val="left" w:pos="720"/>
        </w:tabs>
        <w:ind w:left="1440" w:hanging="720"/>
        <w:rPr>
          <w:rFonts w:ascii="David" w:eastAsiaTheme="minorHAnsi" w:hAnsi="David" w:cs="David"/>
          <w:b/>
          <w:bCs/>
          <w:spacing w:val="0"/>
          <w:kern w:val="0"/>
          <w:sz w:val="24"/>
          <w:szCs w:val="24"/>
          <w:rtl/>
          <w14:ligatures w14:val="none"/>
        </w:rPr>
      </w:pPr>
      <w:r>
        <w:rPr>
          <w:rFonts w:ascii="David" w:eastAsiaTheme="minorHAnsi" w:hAnsi="David" w:cs="David"/>
          <w:spacing w:val="0"/>
          <w:kern w:val="0"/>
          <w:sz w:val="24"/>
          <w:szCs w:val="24"/>
          <w:rtl/>
          <w14:ligatures w14:val="none"/>
        </w:rPr>
        <w:t>"</w:t>
      </w:r>
      <w:r>
        <w:rPr>
          <w:rFonts w:ascii="David" w:eastAsiaTheme="minorHAnsi" w:hAnsi="David" w:cs="David"/>
          <w:b/>
          <w:bCs/>
          <w:spacing w:val="0"/>
          <w:kern w:val="0"/>
          <w:sz w:val="24"/>
          <w:szCs w:val="24"/>
          <w:rtl/>
          <w14:ligatures w14:val="none"/>
        </w:rPr>
        <w:t>2.</w:t>
      </w:r>
      <w:r>
        <w:rPr>
          <w:rFonts w:ascii="David" w:eastAsiaTheme="minorHAnsi" w:hAnsi="David" w:cs="David"/>
          <w:b/>
          <w:bCs/>
          <w:spacing w:val="0"/>
          <w:kern w:val="0"/>
          <w:sz w:val="24"/>
          <w:szCs w:val="24"/>
          <w:rtl/>
          <w14:ligatures w14:val="none"/>
        </w:rPr>
        <w:tab/>
        <w:t>ביום 25.12.22 יצאה ממשרד הח"מ מסירה הכוללת את כתב התביעה, הזמנה לדין, אישור פתיחת תיק וכן את ההחלטה על מועד הדיון מיום 24.12.22 באמצעות שליח וזאת לצורך מסירתו לנתבעים.</w:t>
      </w:r>
    </w:p>
    <w:p w:rsidR="00805A7D" w:rsidRDefault="00805A7D" w:rsidP="00805A7D">
      <w:pPr>
        <w:pStyle w:val="Ruller40"/>
        <w:tabs>
          <w:tab w:val="left" w:pos="720"/>
        </w:tabs>
        <w:ind w:left="720" w:hanging="18"/>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rtl/>
          <w14:ligatures w14:val="none"/>
        </w:rPr>
        <w:t xml:space="preserve">3. </w:t>
      </w:r>
      <w:r>
        <w:rPr>
          <w:rFonts w:ascii="David" w:eastAsiaTheme="minorHAnsi" w:hAnsi="David" w:cs="David"/>
          <w:b/>
          <w:bCs/>
          <w:spacing w:val="0"/>
          <w:kern w:val="0"/>
          <w:sz w:val="24"/>
          <w:szCs w:val="24"/>
          <w:rtl/>
          <w14:ligatures w14:val="none"/>
        </w:rPr>
        <w:tab/>
        <w:t xml:space="preserve">השליח שוחח עם  הנתבעת 1 שקבעה </w:t>
      </w:r>
      <w:proofErr w:type="spellStart"/>
      <w:r>
        <w:rPr>
          <w:rFonts w:ascii="David" w:eastAsiaTheme="minorHAnsi" w:hAnsi="David" w:cs="David"/>
          <w:b/>
          <w:bCs/>
          <w:spacing w:val="0"/>
          <w:kern w:val="0"/>
          <w:sz w:val="24"/>
          <w:szCs w:val="24"/>
          <w:rtl/>
          <w14:ligatures w14:val="none"/>
        </w:rPr>
        <w:t>עימו</w:t>
      </w:r>
      <w:proofErr w:type="spellEnd"/>
      <w:r>
        <w:rPr>
          <w:rFonts w:ascii="David" w:eastAsiaTheme="minorHAnsi" w:hAnsi="David" w:cs="David"/>
          <w:b/>
          <w:bCs/>
          <w:spacing w:val="0"/>
          <w:kern w:val="0"/>
          <w:sz w:val="24"/>
          <w:szCs w:val="24"/>
          <w:rtl/>
          <w14:ligatures w14:val="none"/>
        </w:rPr>
        <w:t xml:space="preserve"> כי יגיע לביתה לצורך קבלת מסירה.</w:t>
      </w:r>
    </w:p>
    <w:p w:rsidR="00805A7D" w:rsidRDefault="00805A7D" w:rsidP="00805A7D">
      <w:pPr>
        <w:pStyle w:val="Ruller40"/>
        <w:tabs>
          <w:tab w:val="left" w:pos="720"/>
        </w:tabs>
        <w:ind w:left="1440" w:hanging="738"/>
        <w:rPr>
          <w:rFonts w:ascii="David" w:eastAsiaTheme="minorHAnsi" w:hAnsi="David" w:cs="David"/>
          <w:spacing w:val="0"/>
          <w:kern w:val="0"/>
          <w:sz w:val="24"/>
          <w:szCs w:val="24"/>
          <w:rtl/>
          <w14:ligatures w14:val="none"/>
        </w:rPr>
      </w:pPr>
      <w:r>
        <w:rPr>
          <w:rFonts w:ascii="David" w:eastAsiaTheme="minorHAnsi" w:hAnsi="David" w:cs="David"/>
          <w:b/>
          <w:bCs/>
          <w:spacing w:val="0"/>
          <w:kern w:val="0"/>
          <w:sz w:val="24"/>
          <w:szCs w:val="24"/>
          <w:rtl/>
          <w14:ligatures w14:val="none"/>
        </w:rPr>
        <w:t xml:space="preserve">4. </w:t>
      </w:r>
      <w:r>
        <w:rPr>
          <w:rFonts w:ascii="David" w:eastAsiaTheme="minorHAnsi" w:hAnsi="David" w:cs="David"/>
          <w:b/>
          <w:bCs/>
          <w:spacing w:val="0"/>
          <w:kern w:val="0"/>
          <w:sz w:val="24"/>
          <w:szCs w:val="24"/>
          <w:rtl/>
          <w14:ligatures w14:val="none"/>
        </w:rPr>
        <w:tab/>
        <w:t>עם הגעת השליח לכתובת הנתבעים, יצא נתבע 2 והורה לנתבעת שלא להסכים לקבל את המסירה ואלה סירבו לחתום על מסירת המעטפה</w:t>
      </w:r>
      <w:r>
        <w:rPr>
          <w:rFonts w:ascii="David" w:eastAsiaTheme="minorHAnsi" w:hAnsi="David" w:cs="David"/>
          <w:spacing w:val="0"/>
          <w:kern w:val="0"/>
          <w:sz w:val="24"/>
          <w:szCs w:val="24"/>
          <w:rtl/>
          <w14:ligatures w14:val="none"/>
        </w:rPr>
        <w:t xml:space="preserve">".  </w:t>
      </w:r>
    </w:p>
    <w:p w:rsidR="00805A7D" w:rsidRDefault="00805A7D" w:rsidP="00805A7D">
      <w:pPr>
        <w:pStyle w:val="Ruller40"/>
        <w:rPr>
          <w:rFonts w:ascii="David" w:eastAsiaTheme="minorHAnsi" w:hAnsi="David" w:cs="David"/>
          <w:spacing w:val="0"/>
          <w:kern w:val="0"/>
          <w:sz w:val="24"/>
          <w:szCs w:val="24"/>
          <w:rtl/>
          <w14:ligatures w14:val="none"/>
        </w:rPr>
      </w:pPr>
    </w:p>
    <w:p w:rsidR="00805A7D" w:rsidRDefault="00805A7D" w:rsidP="00805A7D">
      <w:pPr>
        <w:pStyle w:val="Ruller40"/>
        <w:tabs>
          <w:tab w:val="left" w:pos="-5961"/>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3.</w:t>
      </w:r>
      <w:r>
        <w:rPr>
          <w:rFonts w:ascii="David" w:eastAsiaTheme="minorHAnsi" w:hAnsi="David" w:cs="David"/>
          <w:spacing w:val="0"/>
          <w:kern w:val="0"/>
          <w:sz w:val="24"/>
          <w:szCs w:val="24"/>
          <w:rtl/>
          <w14:ligatures w14:val="none"/>
        </w:rPr>
        <w:tab/>
        <w:t>לתיק לא הוגש כתב הגנה. התובע הגיש בקשה למתן פסק דין בהעדר הגנה. ביום 7.2.2023 קבעתי ש"</w:t>
      </w:r>
      <w:r>
        <w:rPr>
          <w:rFonts w:ascii="David" w:eastAsiaTheme="minorHAnsi" w:hAnsi="David" w:cs="David"/>
          <w:b/>
          <w:bCs/>
          <w:spacing w:val="0"/>
          <w:kern w:val="0"/>
          <w:sz w:val="24"/>
          <w:szCs w:val="24"/>
          <w:rtl/>
          <w14:ligatures w14:val="none"/>
        </w:rPr>
        <w:t>ככל שלא יוגש כתב הגנה עד ליום 13/2/2023 לא אדרש לו</w:t>
      </w:r>
      <w:r>
        <w:rPr>
          <w:rFonts w:ascii="David" w:eastAsiaTheme="minorHAnsi" w:hAnsi="David" w:cs="David"/>
          <w:spacing w:val="0"/>
          <w:kern w:val="0"/>
          <w:sz w:val="24"/>
          <w:szCs w:val="24"/>
          <w:rtl/>
          <w14:ligatures w14:val="none"/>
        </w:rPr>
        <w:t>" נקבעה תזכורת פנימית ליום 13/2/2023.</w:t>
      </w:r>
    </w:p>
    <w:p w:rsidR="00805A7D" w:rsidRDefault="00805A7D" w:rsidP="00805A7D">
      <w:pPr>
        <w:pStyle w:val="Ruller40"/>
        <w:rPr>
          <w:rFonts w:ascii="David" w:eastAsiaTheme="minorHAnsi" w:hAnsi="David" w:cs="David"/>
          <w:spacing w:val="0"/>
          <w:kern w:val="0"/>
          <w:sz w:val="24"/>
          <w:szCs w:val="24"/>
          <w:rtl/>
          <w14:ligatures w14:val="none"/>
        </w:rPr>
      </w:pPr>
    </w:p>
    <w:p w:rsidR="00805A7D" w:rsidRDefault="00805A7D" w:rsidP="00805A7D">
      <w:pPr>
        <w:spacing w:line="360" w:lineRule="auto"/>
        <w:ind w:left="-7"/>
        <w:jc w:val="both"/>
        <w:rPr>
          <w:rFonts w:ascii="David" w:eastAsiaTheme="minorHAnsi" w:hAnsi="David"/>
          <w:b/>
          <w:bCs/>
          <w:sz w:val="26"/>
          <w:szCs w:val="26"/>
          <w:rtl/>
        </w:rPr>
      </w:pPr>
      <w:r>
        <w:rPr>
          <w:rFonts w:ascii="David" w:hAnsi="David"/>
          <w:b/>
          <w:bCs/>
          <w:sz w:val="26"/>
          <w:szCs w:val="26"/>
          <w:u w:val="single"/>
          <w:rtl/>
        </w:rPr>
        <w:t>פסק הדין</w:t>
      </w:r>
      <w:r>
        <w:rPr>
          <w:rFonts w:ascii="David" w:hAnsi="David"/>
          <w:b/>
          <w:bCs/>
          <w:sz w:val="26"/>
          <w:szCs w:val="26"/>
          <w:rtl/>
        </w:rPr>
        <w:t>:</w:t>
      </w:r>
    </w:p>
    <w:p w:rsidR="00B43414" w:rsidRDefault="00B43414" w:rsidP="00805A7D">
      <w:pPr>
        <w:spacing w:line="360" w:lineRule="auto"/>
        <w:ind w:left="-7"/>
        <w:jc w:val="both"/>
        <w:rPr>
          <w:rFonts w:ascii="David" w:eastAsiaTheme="minorHAnsi" w:hAnsi="David"/>
          <w:b/>
          <w:bCs/>
          <w:sz w:val="26"/>
          <w:szCs w:val="26"/>
        </w:rPr>
      </w:pPr>
    </w:p>
    <w:p w:rsidR="00805A7D" w:rsidRDefault="00805A7D" w:rsidP="00805A7D">
      <w:pPr>
        <w:pStyle w:val="Ruller40"/>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4.</w:t>
      </w:r>
      <w:r>
        <w:rPr>
          <w:rFonts w:ascii="David" w:eastAsiaTheme="minorHAnsi" w:hAnsi="David" w:cs="David"/>
          <w:spacing w:val="0"/>
          <w:kern w:val="0"/>
          <w:sz w:val="24"/>
          <w:szCs w:val="24"/>
          <w:rtl/>
          <w14:ligatures w14:val="none"/>
        </w:rPr>
        <w:tab/>
        <w:t>כתב הגנה לא הוגש לתיק גם לא במועד הנדחה.  על כן, ביום 14.2.2023 לבקשת בא כוח התובע ניתן פסק דין הקובע:</w:t>
      </w:r>
    </w:p>
    <w:p w:rsidR="00805A7D" w:rsidRDefault="00805A7D" w:rsidP="00805A7D">
      <w:pPr>
        <w:pStyle w:val="Ruller40"/>
        <w:tabs>
          <w:tab w:val="left" w:pos="720"/>
        </w:tabs>
        <w:ind w:left="720" w:hanging="720"/>
        <w:rPr>
          <w:rFonts w:ascii="David" w:eastAsiaTheme="minorHAnsi" w:hAnsi="David" w:cs="David"/>
          <w:spacing w:val="0"/>
          <w:kern w:val="0"/>
          <w:sz w:val="24"/>
          <w:szCs w:val="24"/>
          <w:rtl/>
          <w14:ligatures w14:val="none"/>
        </w:rPr>
      </w:pPr>
    </w:p>
    <w:p w:rsidR="00805A7D" w:rsidRDefault="00805A7D" w:rsidP="00805A7D">
      <w:pPr>
        <w:pStyle w:val="Ruller40"/>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w:t>
      </w:r>
      <w:r>
        <w:rPr>
          <w:rFonts w:ascii="David" w:eastAsiaTheme="minorHAnsi" w:hAnsi="David" w:cs="David"/>
          <w:b/>
          <w:bCs/>
          <w:spacing w:val="0"/>
          <w:kern w:val="0"/>
          <w:sz w:val="24"/>
          <w:szCs w:val="24"/>
          <w:rtl/>
          <w14:ligatures w14:val="none"/>
        </w:rPr>
        <w:t xml:space="preserve">לתיק לא הוגש כתב הגנה חרף מסירה שבוצעה ביום 25/12/2023. </w:t>
      </w:r>
      <w:r>
        <w:rPr>
          <w:rFonts w:ascii="David" w:eastAsiaTheme="minorHAnsi" w:hAnsi="David" w:cs="David"/>
          <w:spacing w:val="0"/>
          <w:kern w:val="0"/>
          <w:sz w:val="24"/>
          <w:szCs w:val="24"/>
          <w:rtl/>
          <w14:ligatures w14:val="none"/>
        </w:rPr>
        <w:t>(כך במקור)</w:t>
      </w:r>
      <w:r>
        <w:rPr>
          <w:rFonts w:ascii="David" w:eastAsiaTheme="minorHAnsi" w:hAnsi="David" w:cs="David"/>
          <w:b/>
          <w:bCs/>
          <w:spacing w:val="0"/>
          <w:kern w:val="0"/>
          <w:sz w:val="24"/>
          <w:szCs w:val="24"/>
          <w:rtl/>
          <w14:ligatures w14:val="none"/>
        </w:rPr>
        <w:t xml:space="preserve">  בנסיבות אלו וחרף החלטתי מיום 7/2/2023 לא תוקן המחדל ולא הוגש כתב הגנה. בנסיבות אלו זכאי התובע לפסק דין בהעדר הגנה. ניתן בזאת פסק דין המקבל את התביעה. פוסק הוצאות לטובת התובע שישולמו על ידי הנתבעים ביחד ולחוד בסך 3,500 ₪. תוגש פסיקתא לחתימה. הדיון הקבוע ליום 234/23 </w:t>
      </w:r>
      <w:r>
        <w:rPr>
          <w:rFonts w:ascii="David" w:eastAsiaTheme="minorHAnsi" w:hAnsi="David" w:cs="David"/>
          <w:spacing w:val="0"/>
          <w:kern w:val="0"/>
          <w:sz w:val="24"/>
          <w:szCs w:val="24"/>
          <w:rtl/>
          <w14:ligatures w14:val="none"/>
        </w:rPr>
        <w:t>(כך במקור)</w:t>
      </w:r>
      <w:r>
        <w:rPr>
          <w:rFonts w:ascii="David" w:eastAsiaTheme="minorHAnsi" w:hAnsi="David" w:cs="David"/>
          <w:b/>
          <w:bCs/>
          <w:spacing w:val="0"/>
          <w:kern w:val="0"/>
          <w:sz w:val="24"/>
          <w:szCs w:val="24"/>
          <w:rtl/>
          <w14:ligatures w14:val="none"/>
        </w:rPr>
        <w:t xml:space="preserve"> בטל. בא כוח התובע ימסור פסק דין זה במסירה אישית לנתבעים ויסרוק אותו לתיק. תואיל  המזכירות לעדכן היומן ולסגור את התיק</w:t>
      </w:r>
      <w:r>
        <w:rPr>
          <w:rFonts w:ascii="David" w:eastAsiaTheme="minorHAnsi" w:hAnsi="David" w:cs="David"/>
          <w:spacing w:val="0"/>
          <w:kern w:val="0"/>
          <w:sz w:val="24"/>
          <w:szCs w:val="24"/>
          <w:rtl/>
          <w14:ligatures w14:val="none"/>
        </w:rPr>
        <w:t>."</w:t>
      </w:r>
    </w:p>
    <w:p w:rsidR="00805A7D" w:rsidRDefault="00805A7D" w:rsidP="00805A7D">
      <w:pPr>
        <w:pStyle w:val="Ruller40"/>
        <w:rPr>
          <w:rFonts w:ascii="David" w:eastAsiaTheme="minorHAnsi" w:hAnsi="David" w:cs="David"/>
          <w:b/>
          <w:bCs/>
          <w:spacing w:val="0"/>
          <w:kern w:val="0"/>
          <w:sz w:val="26"/>
          <w:szCs w:val="26"/>
          <w:u w:val="single"/>
          <w:rtl/>
          <w14:ligatures w14:val="none"/>
        </w:rPr>
      </w:pPr>
    </w:p>
    <w:p w:rsidR="00B43414" w:rsidRDefault="00B43414" w:rsidP="00805A7D">
      <w:pPr>
        <w:pStyle w:val="Ruller40"/>
        <w:rPr>
          <w:rFonts w:ascii="David" w:eastAsiaTheme="minorHAnsi" w:hAnsi="David" w:cs="David"/>
          <w:b/>
          <w:bCs/>
          <w:spacing w:val="0"/>
          <w:kern w:val="0"/>
          <w:sz w:val="26"/>
          <w:szCs w:val="26"/>
          <w:u w:val="single"/>
          <w:rtl/>
          <w14:ligatures w14:val="none"/>
        </w:rPr>
      </w:pPr>
    </w:p>
    <w:p w:rsidR="00B43414" w:rsidRDefault="00B43414" w:rsidP="00805A7D">
      <w:pPr>
        <w:pStyle w:val="Ruller40"/>
        <w:rPr>
          <w:rFonts w:ascii="David" w:eastAsiaTheme="minorHAnsi" w:hAnsi="David" w:cs="David"/>
          <w:b/>
          <w:bCs/>
          <w:spacing w:val="0"/>
          <w:kern w:val="0"/>
          <w:sz w:val="26"/>
          <w:szCs w:val="26"/>
          <w:u w:val="single"/>
          <w:rtl/>
          <w14:ligatures w14:val="none"/>
        </w:rPr>
      </w:pPr>
    </w:p>
    <w:p w:rsidR="00B43414" w:rsidRDefault="00B43414" w:rsidP="00805A7D">
      <w:pPr>
        <w:pStyle w:val="Ruller40"/>
        <w:rPr>
          <w:rFonts w:ascii="David" w:eastAsiaTheme="minorHAnsi" w:hAnsi="David" w:cs="David"/>
          <w:b/>
          <w:bCs/>
          <w:spacing w:val="0"/>
          <w:kern w:val="0"/>
          <w:sz w:val="26"/>
          <w:szCs w:val="26"/>
          <w:u w:val="single"/>
          <w:rtl/>
          <w14:ligatures w14:val="none"/>
        </w:rPr>
      </w:pPr>
    </w:p>
    <w:p w:rsidR="00805A7D" w:rsidRDefault="00805A7D" w:rsidP="00805A7D">
      <w:pPr>
        <w:pStyle w:val="Ruller40"/>
        <w:rPr>
          <w:rFonts w:ascii="David" w:eastAsiaTheme="minorHAnsi" w:hAnsi="David" w:cs="David"/>
          <w:b/>
          <w:bCs/>
          <w:spacing w:val="0"/>
          <w:kern w:val="0"/>
          <w:sz w:val="26"/>
          <w:szCs w:val="26"/>
          <w:rtl/>
          <w14:ligatures w14:val="none"/>
        </w:rPr>
      </w:pPr>
      <w:r>
        <w:rPr>
          <w:rFonts w:ascii="David" w:eastAsiaTheme="minorHAnsi" w:hAnsi="David" w:cs="David"/>
          <w:b/>
          <w:bCs/>
          <w:spacing w:val="0"/>
          <w:kern w:val="0"/>
          <w:sz w:val="26"/>
          <w:szCs w:val="26"/>
          <w:u w:val="single"/>
          <w:rtl/>
          <w14:ligatures w14:val="none"/>
        </w:rPr>
        <w:lastRenderedPageBreak/>
        <w:t>הבקשה לביטול פסק דין</w:t>
      </w:r>
      <w:r>
        <w:rPr>
          <w:rFonts w:ascii="David" w:eastAsiaTheme="minorHAnsi" w:hAnsi="David" w:cs="David"/>
          <w:b/>
          <w:bCs/>
          <w:spacing w:val="0"/>
          <w:kern w:val="0"/>
          <w:sz w:val="26"/>
          <w:szCs w:val="26"/>
          <w:rtl/>
          <w14:ligatures w14:val="none"/>
        </w:rPr>
        <w:t>:</w:t>
      </w:r>
    </w:p>
    <w:p w:rsidR="00805A7D" w:rsidRDefault="00805A7D" w:rsidP="00805A7D">
      <w:pPr>
        <w:pStyle w:val="Ruller40"/>
        <w:rPr>
          <w:rFonts w:ascii="David" w:eastAsiaTheme="minorHAnsi" w:hAnsi="David" w:cs="David"/>
          <w:spacing w:val="0"/>
          <w:kern w:val="0"/>
          <w:sz w:val="24"/>
          <w:szCs w:val="24"/>
          <w:rtl/>
          <w14:ligatures w14:val="none"/>
        </w:rPr>
      </w:pPr>
    </w:p>
    <w:p w:rsidR="00805A7D" w:rsidRDefault="00805A7D" w:rsidP="00805A7D">
      <w:pPr>
        <w:pStyle w:val="Ruller40"/>
        <w:tabs>
          <w:tab w:val="left" w:pos="720"/>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5.</w:t>
      </w:r>
      <w:r>
        <w:rPr>
          <w:rFonts w:ascii="David" w:eastAsiaTheme="minorHAnsi" w:hAnsi="David" w:cs="David"/>
          <w:spacing w:val="0"/>
          <w:kern w:val="0"/>
          <w:sz w:val="24"/>
          <w:szCs w:val="24"/>
          <w:rtl/>
          <w14:ligatures w14:val="none"/>
        </w:rPr>
        <w:tab/>
        <w:t>ביום 15.3.2023 הוגשה ע"י ב"כ הנתבעים  "</w:t>
      </w:r>
      <w:r>
        <w:rPr>
          <w:rFonts w:ascii="David" w:eastAsiaTheme="minorHAnsi" w:hAnsi="David" w:cs="David"/>
          <w:spacing w:val="0"/>
          <w:kern w:val="0"/>
          <w:sz w:val="24"/>
          <w:szCs w:val="24"/>
          <w:u w:val="single"/>
          <w:rtl/>
          <w14:ligatures w14:val="none"/>
        </w:rPr>
        <w:t>בקשה (בהולה) לביטול פסק דין  (שניתן במעמד צד אחד מכף ובהיעדר המצאה כדין</w:t>
      </w:r>
      <w:r>
        <w:rPr>
          <w:rFonts w:ascii="David" w:eastAsiaTheme="minorHAnsi" w:hAnsi="David" w:cs="David"/>
          <w:spacing w:val="0"/>
          <w:kern w:val="0"/>
          <w:sz w:val="24"/>
          <w:szCs w:val="24"/>
          <w:rtl/>
          <w14:ligatures w14:val="none"/>
        </w:rPr>
        <w:t>)" (להלן-</w:t>
      </w:r>
      <w:r>
        <w:rPr>
          <w:rFonts w:ascii="Miriam" w:eastAsiaTheme="minorHAnsi" w:hAnsi="Miriam" w:cs="Miriam"/>
          <w:b/>
          <w:bCs/>
          <w:spacing w:val="0"/>
          <w:kern w:val="0"/>
          <w:sz w:val="24"/>
          <w:szCs w:val="24"/>
          <w:rtl/>
          <w14:ligatures w14:val="none"/>
        </w:rPr>
        <w:t>הבקשה לביטול פסק דין</w:t>
      </w:r>
      <w:r>
        <w:rPr>
          <w:rFonts w:ascii="David" w:eastAsiaTheme="minorHAnsi" w:hAnsi="David" w:cs="David"/>
          <w:spacing w:val="0"/>
          <w:kern w:val="0"/>
          <w:sz w:val="24"/>
          <w:szCs w:val="24"/>
          <w:rtl/>
          <w14:ligatures w14:val="none"/>
        </w:rPr>
        <w:t>).</w:t>
      </w:r>
    </w:p>
    <w:p w:rsidR="00B43414" w:rsidRDefault="00B43414" w:rsidP="00805A7D">
      <w:pPr>
        <w:pStyle w:val="Ruller40"/>
        <w:tabs>
          <w:tab w:val="left" w:pos="720"/>
        </w:tabs>
        <w:ind w:left="720"/>
        <w:rPr>
          <w:rFonts w:ascii="David" w:eastAsiaTheme="minorHAnsi" w:hAnsi="David" w:cs="David"/>
          <w:spacing w:val="0"/>
          <w:kern w:val="0"/>
          <w:sz w:val="24"/>
          <w:szCs w:val="24"/>
          <w:rtl/>
          <w14:ligatures w14:val="none"/>
        </w:rPr>
      </w:pPr>
    </w:p>
    <w:p w:rsidR="00805A7D" w:rsidRDefault="00805A7D" w:rsidP="00805A7D">
      <w:pPr>
        <w:pStyle w:val="Ruller40"/>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בקציר האומר יועלו טענות הנתבעים בבקשתם:</w:t>
      </w:r>
    </w:p>
    <w:p w:rsidR="00805A7D" w:rsidRDefault="00805A7D" w:rsidP="00805A7D">
      <w:pPr>
        <w:pStyle w:val="Ruller40"/>
        <w:ind w:left="720"/>
        <w:rPr>
          <w:rFonts w:ascii="David" w:eastAsiaTheme="minorHAnsi" w:hAnsi="David" w:cs="David"/>
          <w:spacing w:val="0"/>
          <w:kern w:val="0"/>
          <w:sz w:val="24"/>
          <w:szCs w:val="24"/>
          <w:rtl/>
          <w14:ligatures w14:val="none"/>
        </w:rPr>
      </w:pPr>
    </w:p>
    <w:p w:rsidR="00805A7D" w:rsidRDefault="00805A7D" w:rsidP="00805A7D">
      <w:pPr>
        <w:pStyle w:val="Ruller40"/>
        <w:ind w:left="1440" w:hanging="720"/>
        <w:rPr>
          <w:rFonts w:ascii="David" w:eastAsiaTheme="minorHAnsi" w:hAnsi="David" w:cs="David"/>
          <w:b/>
          <w:bCs/>
          <w:spacing w:val="0"/>
          <w:kern w:val="0"/>
          <w:sz w:val="24"/>
          <w:szCs w:val="24"/>
          <w:rtl/>
          <w14:ligatures w14:val="none"/>
        </w:rPr>
      </w:pPr>
      <w:r>
        <w:rPr>
          <w:rFonts w:ascii="David" w:eastAsiaTheme="minorHAnsi" w:hAnsi="David" w:cs="David"/>
          <w:spacing w:val="0"/>
          <w:kern w:val="0"/>
          <w:sz w:val="24"/>
          <w:szCs w:val="24"/>
          <w:rtl/>
          <w14:ligatures w14:val="none"/>
        </w:rPr>
        <w:t>א.</w:t>
      </w:r>
      <w:r>
        <w:rPr>
          <w:rFonts w:ascii="David" w:eastAsiaTheme="minorHAnsi" w:hAnsi="David" w:cs="David"/>
          <w:spacing w:val="0"/>
          <w:kern w:val="0"/>
          <w:sz w:val="24"/>
          <w:szCs w:val="24"/>
          <w:rtl/>
          <w14:ligatures w14:val="none"/>
        </w:rPr>
        <w:tab/>
        <w:t>פסק הדין ניתן טרם חלוף המועד "...</w:t>
      </w:r>
      <w:r>
        <w:rPr>
          <w:rFonts w:ascii="David" w:eastAsiaTheme="minorHAnsi" w:hAnsi="David" w:cs="David"/>
          <w:b/>
          <w:bCs/>
          <w:spacing w:val="0"/>
          <w:kern w:val="0"/>
          <w:sz w:val="24"/>
          <w:szCs w:val="24"/>
          <w:rtl/>
          <w14:ligatures w14:val="none"/>
        </w:rPr>
        <w:t xml:space="preserve">בהתחשב בעובדה כי הבקשה למתן פסק דין אשר הוגשה לבית המשפט הנכבד ביום 7.2.23 הוגשה שלא כדין בטרם חלף המועד </w:t>
      </w:r>
    </w:p>
    <w:p w:rsidR="00805A7D" w:rsidRDefault="00805A7D" w:rsidP="00805A7D">
      <w:pPr>
        <w:pStyle w:val="Ruller40"/>
        <w:ind w:left="1440" w:hanging="720"/>
        <w:rPr>
          <w:rFonts w:ascii="David" w:eastAsiaTheme="minorHAnsi" w:hAnsi="David" w:cs="David"/>
          <w:spacing w:val="0"/>
          <w:kern w:val="0"/>
          <w:sz w:val="24"/>
          <w:szCs w:val="24"/>
          <w:rtl/>
          <w14:ligatures w14:val="none"/>
        </w:rPr>
      </w:pPr>
      <w:r>
        <w:rPr>
          <w:rFonts w:ascii="David" w:eastAsiaTheme="minorHAnsi" w:hAnsi="David" w:cs="David"/>
          <w:b/>
          <w:bCs/>
          <w:spacing w:val="0"/>
          <w:kern w:val="0"/>
          <w:sz w:val="24"/>
          <w:szCs w:val="24"/>
          <w:rtl/>
          <w14:ligatures w14:val="none"/>
        </w:rPr>
        <w:tab/>
      </w:r>
      <w:r>
        <w:rPr>
          <w:rFonts w:ascii="David" w:eastAsiaTheme="minorHAnsi" w:hAnsi="David" w:cs="David"/>
          <w:b/>
          <w:bCs/>
          <w:spacing w:val="0"/>
          <w:kern w:val="0"/>
          <w:sz w:val="24"/>
          <w:szCs w:val="24"/>
          <w:rtl/>
          <w14:ligatures w14:val="none"/>
        </w:rPr>
        <w:tab/>
        <w:t>25.2.2023 להגשת כתב ההגנה</w:t>
      </w:r>
      <w:r>
        <w:rPr>
          <w:rFonts w:ascii="David" w:eastAsiaTheme="minorHAnsi" w:hAnsi="David" w:cs="David"/>
          <w:spacing w:val="0"/>
          <w:kern w:val="0"/>
          <w:sz w:val="24"/>
          <w:szCs w:val="24"/>
          <w:rtl/>
          <w14:ligatures w14:val="none"/>
        </w:rPr>
        <w:t>" (הדגש בקו תחתי במקור, ס' א).</w:t>
      </w:r>
    </w:p>
    <w:p w:rsidR="00805A7D" w:rsidRDefault="00805A7D" w:rsidP="00805A7D">
      <w:pPr>
        <w:pStyle w:val="Ruller40"/>
        <w:ind w:left="144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 </w:t>
      </w:r>
    </w:p>
    <w:p w:rsidR="00805A7D" w:rsidRDefault="00805A7D" w:rsidP="00805A7D">
      <w:pPr>
        <w:pStyle w:val="Ruller40"/>
        <w:tabs>
          <w:tab w:val="left" w:pos="-5961"/>
        </w:tabs>
        <w:ind w:left="144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ב.</w:t>
      </w:r>
      <w:r>
        <w:rPr>
          <w:rFonts w:ascii="David" w:eastAsiaTheme="minorHAnsi" w:hAnsi="David" w:cs="David"/>
          <w:spacing w:val="0"/>
          <w:kern w:val="0"/>
          <w:sz w:val="24"/>
          <w:szCs w:val="24"/>
          <w:rtl/>
          <w14:ligatures w14:val="none"/>
        </w:rPr>
        <w:tab/>
        <w:t xml:space="preserve">התובע לא המציא להם את כתב התביעה. כך, עיון ב"הודעה על המצאה" (ההודעה הראשונה-מ.ל)  שהוגשה לתיק מלמד שאין הלימה בין מי שחתום על תצהיר מוסר (מר אמנון </w:t>
      </w:r>
      <w:proofErr w:type="spellStart"/>
      <w:r>
        <w:rPr>
          <w:rFonts w:ascii="David" w:eastAsiaTheme="minorHAnsi" w:hAnsi="David" w:cs="David"/>
          <w:spacing w:val="0"/>
          <w:kern w:val="0"/>
          <w:sz w:val="24"/>
          <w:szCs w:val="24"/>
          <w:rtl/>
          <w14:ligatures w14:val="none"/>
        </w:rPr>
        <w:t>אלטופחי</w:t>
      </w:r>
      <w:proofErr w:type="spellEnd"/>
      <w:r>
        <w:rPr>
          <w:rFonts w:ascii="David" w:eastAsiaTheme="minorHAnsi" w:hAnsi="David" w:cs="David"/>
          <w:spacing w:val="0"/>
          <w:kern w:val="0"/>
          <w:sz w:val="24"/>
          <w:szCs w:val="24"/>
          <w:rtl/>
          <w14:ligatures w14:val="none"/>
        </w:rPr>
        <w:t>) לבין החתום על אישור המסירה (ניקו). "...</w:t>
      </w:r>
      <w:r>
        <w:rPr>
          <w:rFonts w:ascii="David" w:eastAsiaTheme="minorHAnsi" w:hAnsi="David" w:cs="David"/>
          <w:b/>
          <w:bCs/>
          <w:spacing w:val="0"/>
          <w:kern w:val="0"/>
          <w:sz w:val="24"/>
          <w:szCs w:val="24"/>
          <w:rtl/>
          <w14:ligatures w14:val="none"/>
        </w:rPr>
        <w:t xml:space="preserve">מכאן </w:t>
      </w:r>
      <w:r>
        <w:rPr>
          <w:rFonts w:ascii="David" w:eastAsiaTheme="minorHAnsi" w:hAnsi="David" w:cs="David"/>
          <w:b/>
          <w:bCs/>
          <w:spacing w:val="0"/>
          <w:kern w:val="0"/>
          <w:sz w:val="24"/>
          <w:szCs w:val="24"/>
          <w:u w:val="single"/>
          <w:rtl/>
          <w14:ligatures w14:val="none"/>
        </w:rPr>
        <w:t xml:space="preserve">שאין </w:t>
      </w:r>
      <w:proofErr w:type="spellStart"/>
      <w:r>
        <w:rPr>
          <w:rFonts w:ascii="David" w:eastAsiaTheme="minorHAnsi" w:hAnsi="David" w:cs="David"/>
          <w:b/>
          <w:bCs/>
          <w:spacing w:val="0"/>
          <w:kern w:val="0"/>
          <w:sz w:val="24"/>
          <w:szCs w:val="24"/>
          <w:u w:val="single"/>
          <w:rtl/>
          <w14:ligatures w14:val="none"/>
        </w:rPr>
        <w:t>ליתן</w:t>
      </w:r>
      <w:proofErr w:type="spellEnd"/>
      <w:r>
        <w:rPr>
          <w:rFonts w:ascii="David" w:eastAsiaTheme="minorHAnsi" w:hAnsi="David" w:cs="David"/>
          <w:b/>
          <w:bCs/>
          <w:spacing w:val="0"/>
          <w:kern w:val="0"/>
          <w:sz w:val="24"/>
          <w:szCs w:val="24"/>
          <w:u w:val="single"/>
          <w:rtl/>
          <w14:ligatures w14:val="none"/>
        </w:rPr>
        <w:t xml:space="preserve"> כל אמון</w:t>
      </w:r>
      <w:r>
        <w:rPr>
          <w:rFonts w:ascii="David" w:eastAsiaTheme="minorHAnsi" w:hAnsi="David" w:cs="David"/>
          <w:b/>
          <w:bCs/>
          <w:spacing w:val="0"/>
          <w:kern w:val="0"/>
          <w:sz w:val="24"/>
          <w:szCs w:val="24"/>
          <w:rtl/>
          <w14:ligatures w14:val="none"/>
        </w:rPr>
        <w:t xml:space="preserve">  ב"הודעה על המצאה" אשר הגיש בא כוח התובע לבית המשפט</w:t>
      </w:r>
      <w:r>
        <w:rPr>
          <w:rFonts w:ascii="David" w:eastAsiaTheme="minorHAnsi" w:hAnsi="David" w:cs="David"/>
          <w:spacing w:val="0"/>
          <w:kern w:val="0"/>
          <w:sz w:val="24"/>
          <w:szCs w:val="24"/>
          <w:rtl/>
          <w14:ligatures w14:val="none"/>
        </w:rPr>
        <w:t>". (הדגש בקו תחתי במקור, ס' 8)</w:t>
      </w:r>
    </w:p>
    <w:p w:rsidR="00805A7D" w:rsidRDefault="00805A7D" w:rsidP="00805A7D">
      <w:pPr>
        <w:pStyle w:val="Ruller40"/>
        <w:rPr>
          <w:rFonts w:ascii="David" w:eastAsiaTheme="minorHAnsi" w:hAnsi="David" w:cs="David"/>
          <w:spacing w:val="0"/>
          <w:kern w:val="0"/>
          <w:sz w:val="24"/>
          <w:szCs w:val="24"/>
          <w:rtl/>
          <w14:ligatures w14:val="none"/>
        </w:rPr>
      </w:pPr>
    </w:p>
    <w:p w:rsidR="00805A7D" w:rsidRDefault="00805A7D" w:rsidP="00805A7D">
      <w:pPr>
        <w:pStyle w:val="Ruller40"/>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ab/>
        <w:t xml:space="preserve">המצאה כדין לנתבעים היא מקור הסמכות המאפשר לבית המשפט לדון בתביעה. </w:t>
      </w:r>
    </w:p>
    <w:p w:rsidR="00805A7D" w:rsidRDefault="00805A7D" w:rsidP="00805A7D">
      <w:pPr>
        <w:pStyle w:val="Ruller40"/>
        <w:rPr>
          <w:rFonts w:ascii="David" w:eastAsiaTheme="minorHAnsi" w:hAnsi="David" w:cs="David"/>
          <w:spacing w:val="0"/>
          <w:kern w:val="0"/>
          <w:sz w:val="24"/>
          <w:szCs w:val="24"/>
          <w:rtl/>
          <w14:ligatures w14:val="none"/>
        </w:rPr>
      </w:pPr>
    </w:p>
    <w:p w:rsidR="00805A7D" w:rsidRDefault="00805A7D" w:rsidP="00805A7D">
      <w:pPr>
        <w:pStyle w:val="Ruller40"/>
        <w:tabs>
          <w:tab w:val="left" w:pos="720"/>
        </w:tabs>
        <w:ind w:left="144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ג.</w:t>
      </w:r>
      <w:r>
        <w:rPr>
          <w:rFonts w:ascii="David" w:eastAsiaTheme="minorHAnsi" w:hAnsi="David" w:cs="David"/>
          <w:spacing w:val="0"/>
          <w:kern w:val="0"/>
          <w:sz w:val="24"/>
          <w:szCs w:val="24"/>
          <w:rtl/>
          <w14:ligatures w14:val="none"/>
        </w:rPr>
        <w:tab/>
        <w:t xml:space="preserve">"בהודעה על ההמצאה" כתב  ב"כ התובע (בסעיפים 3 ו-4) עובדות הקשורות בביצוע המסירה שאינן מגובות בתצהיר המוסר. </w:t>
      </w:r>
    </w:p>
    <w:p w:rsidR="00805A7D" w:rsidRDefault="00805A7D" w:rsidP="00805A7D">
      <w:pPr>
        <w:pStyle w:val="Ruller40"/>
        <w:rPr>
          <w:rFonts w:ascii="David" w:eastAsiaTheme="minorHAnsi" w:hAnsi="David" w:cs="David"/>
          <w:spacing w:val="0"/>
          <w:kern w:val="0"/>
          <w:sz w:val="24"/>
          <w:szCs w:val="24"/>
          <w:rtl/>
          <w14:ligatures w14:val="none"/>
        </w:rPr>
      </w:pPr>
    </w:p>
    <w:p w:rsidR="00805A7D" w:rsidRDefault="00805A7D" w:rsidP="00805A7D">
      <w:pPr>
        <w:pStyle w:val="Ruller40"/>
        <w:tabs>
          <w:tab w:val="left" w:pos="720"/>
        </w:tabs>
        <w:ind w:left="144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ד.</w:t>
      </w:r>
      <w:r>
        <w:rPr>
          <w:rFonts w:ascii="David" w:eastAsiaTheme="minorHAnsi" w:hAnsi="David" w:cs="David"/>
          <w:spacing w:val="0"/>
          <w:kern w:val="0"/>
          <w:sz w:val="24"/>
          <w:szCs w:val="24"/>
          <w:rtl/>
          <w14:ligatures w14:val="none"/>
        </w:rPr>
        <w:tab/>
        <w:t>בית המשפט קבע את יום המסירה ליום 25.12.2022 ולכן מאחר ועומדים לנתבעים  60 ימים להגשת כתב ההגנה הרי שבמועד מתן פסק הדין טרם חלף המועד להגשתו.</w:t>
      </w:r>
    </w:p>
    <w:p w:rsidR="00805A7D" w:rsidRDefault="00805A7D" w:rsidP="00805A7D">
      <w:pPr>
        <w:pStyle w:val="Ruller40"/>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 </w:t>
      </w:r>
    </w:p>
    <w:p w:rsidR="00805A7D" w:rsidRDefault="00805A7D" w:rsidP="00805A7D">
      <w:pPr>
        <w:pStyle w:val="Ruller40"/>
        <w:tabs>
          <w:tab w:val="left" w:pos="720"/>
        </w:tabs>
        <w:ind w:left="144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ה.</w:t>
      </w:r>
      <w:r>
        <w:rPr>
          <w:rFonts w:ascii="David" w:eastAsiaTheme="minorHAnsi" w:hAnsi="David" w:cs="David"/>
          <w:spacing w:val="0"/>
          <w:kern w:val="0"/>
          <w:sz w:val="24"/>
          <w:szCs w:val="24"/>
          <w:rtl/>
          <w14:ligatures w14:val="none"/>
        </w:rPr>
        <w:tab/>
        <w:t>הנתבעים לא צפו במערכת "נט המשפט" בהחלטות (כפי שנטען ע"י ב"כ התובעים באחת מבקשותיו למתן פסק דין) שכן לעת ההיא לא היו מיוצגים וייפוי כוח של בא כוחם הוגש לתיק רק ביום 28.2.2023 וזאת רק כדי לסייע לנתבעים.</w:t>
      </w:r>
    </w:p>
    <w:p w:rsidR="00805A7D" w:rsidRDefault="00805A7D" w:rsidP="00805A7D">
      <w:pPr>
        <w:pStyle w:val="Ruller40"/>
        <w:ind w:left="720"/>
        <w:rPr>
          <w:rFonts w:ascii="David" w:eastAsiaTheme="minorHAnsi" w:hAnsi="David" w:cs="David"/>
          <w:spacing w:val="0"/>
          <w:kern w:val="0"/>
          <w:sz w:val="24"/>
          <w:szCs w:val="24"/>
          <w:rtl/>
          <w14:ligatures w14:val="none"/>
        </w:rPr>
      </w:pPr>
    </w:p>
    <w:p w:rsidR="00805A7D" w:rsidRDefault="00805A7D" w:rsidP="00805A7D">
      <w:pPr>
        <w:pStyle w:val="Ruller40"/>
        <w:tabs>
          <w:tab w:val="left" w:pos="720"/>
        </w:tabs>
        <w:ind w:left="144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ו.</w:t>
      </w:r>
      <w:r>
        <w:rPr>
          <w:rFonts w:ascii="David" w:eastAsiaTheme="minorHAnsi" w:hAnsi="David" w:cs="David"/>
          <w:spacing w:val="0"/>
          <w:kern w:val="0"/>
          <w:sz w:val="24"/>
          <w:szCs w:val="24"/>
          <w:rtl/>
          <w14:ligatures w14:val="none"/>
        </w:rPr>
        <w:tab/>
        <w:t>לתיק הוגש תצהיר נוסף מיום 8.3.2023  "</w:t>
      </w:r>
      <w:r>
        <w:rPr>
          <w:rFonts w:ascii="David" w:eastAsiaTheme="minorHAnsi" w:hAnsi="David" w:cs="David"/>
          <w:b/>
          <w:bCs/>
          <w:spacing w:val="0"/>
          <w:kern w:val="0"/>
          <w:sz w:val="24"/>
          <w:szCs w:val="24"/>
          <w:rtl/>
          <w14:ligatures w14:val="none"/>
        </w:rPr>
        <w:t>המתייחס לביצוע המסירה מים 25.12.22 (קרי לפני 3 חודשים) וזאת בניסיון לחפות על מחדלו וערוותו כי לא ביצע כל מסירה כדין לנתבעים, ולמעשה ובפועל זכה בפסק דין תוך כדי הטעיה ומרמה של בית המשפט</w:t>
      </w:r>
      <w:r>
        <w:rPr>
          <w:rFonts w:ascii="David" w:eastAsiaTheme="minorHAnsi" w:hAnsi="David" w:cs="David"/>
          <w:spacing w:val="0"/>
          <w:kern w:val="0"/>
          <w:sz w:val="24"/>
          <w:szCs w:val="24"/>
          <w:rtl/>
          <w14:ligatures w14:val="none"/>
        </w:rPr>
        <w:t>".</w:t>
      </w:r>
    </w:p>
    <w:p w:rsidR="00805A7D" w:rsidRDefault="00805A7D" w:rsidP="00805A7D">
      <w:pPr>
        <w:pStyle w:val="Ruller40"/>
        <w:tabs>
          <w:tab w:val="left" w:pos="720"/>
        </w:tabs>
        <w:ind w:left="720"/>
        <w:rPr>
          <w:rFonts w:ascii="David" w:eastAsiaTheme="minorHAnsi" w:hAnsi="David" w:cs="David"/>
          <w:spacing w:val="0"/>
          <w:kern w:val="0"/>
          <w:sz w:val="24"/>
          <w:szCs w:val="24"/>
          <w:rtl/>
          <w14:ligatures w14:val="none"/>
        </w:rPr>
      </w:pPr>
    </w:p>
    <w:p w:rsidR="00805A7D" w:rsidRDefault="00805A7D" w:rsidP="00805A7D">
      <w:pPr>
        <w:pStyle w:val="Ruller40"/>
        <w:tabs>
          <w:tab w:val="left" w:pos="720"/>
        </w:tabs>
        <w:ind w:left="144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ו.</w:t>
      </w:r>
      <w:r>
        <w:rPr>
          <w:rFonts w:ascii="David" w:eastAsiaTheme="minorHAnsi" w:hAnsi="David" w:cs="David"/>
          <w:spacing w:val="0"/>
          <w:kern w:val="0"/>
          <w:sz w:val="24"/>
          <w:szCs w:val="24"/>
          <w:rtl/>
          <w14:ligatures w14:val="none"/>
        </w:rPr>
        <w:tab/>
        <w:t>הנתבעים התייחסו לטענות כתב התביעה  וציינו את סיכויי הצלחתם לדחותה והפנו לפסיקה התומכת בטענותיהם בבקשה לביטול פסק הדין.</w:t>
      </w:r>
    </w:p>
    <w:p w:rsidR="00805A7D" w:rsidRDefault="00805A7D" w:rsidP="00805A7D">
      <w:pPr>
        <w:pStyle w:val="Ruller40"/>
        <w:tabs>
          <w:tab w:val="left" w:pos="720"/>
        </w:tabs>
        <w:ind w:left="135"/>
        <w:rPr>
          <w:rFonts w:ascii="David" w:eastAsiaTheme="minorHAnsi" w:hAnsi="David" w:cs="David"/>
          <w:spacing w:val="0"/>
          <w:kern w:val="0"/>
          <w:sz w:val="24"/>
          <w:szCs w:val="24"/>
          <w:rtl/>
          <w14:ligatures w14:val="none"/>
        </w:rPr>
      </w:pPr>
    </w:p>
    <w:p w:rsidR="00805A7D" w:rsidRDefault="00805A7D" w:rsidP="00805A7D">
      <w:pPr>
        <w:pStyle w:val="Ruller40"/>
        <w:tabs>
          <w:tab w:val="left" w:pos="720"/>
        </w:tabs>
        <w:ind w:left="135"/>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6.</w:t>
      </w:r>
      <w:r>
        <w:rPr>
          <w:rFonts w:ascii="David" w:eastAsiaTheme="minorHAnsi" w:hAnsi="David" w:cs="David"/>
          <w:spacing w:val="0"/>
          <w:kern w:val="0"/>
          <w:sz w:val="24"/>
          <w:szCs w:val="24"/>
          <w:rtl/>
          <w14:ligatures w14:val="none"/>
        </w:rPr>
        <w:tab/>
        <w:t xml:space="preserve">ביום 27.4.2023 הוגשה תגובת התובע שביקש לדחות את הבקשה לביטול פסק הדין.  </w:t>
      </w:r>
    </w:p>
    <w:p w:rsidR="00805A7D" w:rsidRDefault="00805A7D" w:rsidP="00805A7D">
      <w:pPr>
        <w:pStyle w:val="Ruller40"/>
        <w:rPr>
          <w:rFonts w:ascii="David" w:eastAsiaTheme="minorHAnsi" w:hAnsi="David" w:cs="David"/>
          <w:spacing w:val="0"/>
          <w:kern w:val="0"/>
          <w:sz w:val="24"/>
          <w:szCs w:val="24"/>
          <w:rtl/>
          <w14:ligatures w14:val="none"/>
        </w:rPr>
      </w:pPr>
    </w:p>
    <w:p w:rsidR="00805A7D" w:rsidRDefault="00805A7D" w:rsidP="00805A7D">
      <w:pPr>
        <w:pStyle w:val="Ruller40"/>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בקציר האומר יועלו טענות התובע בתגובתו:</w:t>
      </w:r>
    </w:p>
    <w:p w:rsidR="00805A7D" w:rsidRDefault="00805A7D" w:rsidP="00805A7D">
      <w:pPr>
        <w:spacing w:line="360" w:lineRule="auto"/>
        <w:jc w:val="both"/>
        <w:rPr>
          <w:rFonts w:ascii="David" w:eastAsiaTheme="minorHAnsi" w:hAnsi="David"/>
        </w:rPr>
      </w:pPr>
      <w:r>
        <w:rPr>
          <w:rFonts w:ascii="David" w:hAnsi="David"/>
          <w:rtl/>
        </w:rPr>
        <w:tab/>
      </w:r>
    </w:p>
    <w:p w:rsidR="00805A7D" w:rsidRDefault="00805A7D" w:rsidP="00805A7D">
      <w:pPr>
        <w:spacing w:line="360" w:lineRule="auto"/>
        <w:ind w:firstLine="720"/>
        <w:jc w:val="both"/>
        <w:rPr>
          <w:rFonts w:ascii="David" w:hAnsi="David"/>
          <w:rtl/>
        </w:rPr>
      </w:pPr>
      <w:r>
        <w:rPr>
          <w:rFonts w:ascii="David" w:hAnsi="David"/>
          <w:rtl/>
        </w:rPr>
        <w:t>א.</w:t>
      </w:r>
      <w:r>
        <w:rPr>
          <w:rFonts w:ascii="David" w:hAnsi="David"/>
          <w:rtl/>
        </w:rPr>
        <w:tab/>
        <w:t xml:space="preserve">כינויו של השליח בפי חבריו הוא ניקו ולכן מדובר באותו אדם, אותו שליח.  </w:t>
      </w:r>
    </w:p>
    <w:p w:rsidR="00805A7D" w:rsidRDefault="00805A7D" w:rsidP="00805A7D">
      <w:pPr>
        <w:spacing w:line="360" w:lineRule="auto"/>
        <w:ind w:left="702"/>
        <w:jc w:val="both"/>
        <w:rPr>
          <w:rFonts w:ascii="David" w:hAnsi="David"/>
          <w:rtl/>
        </w:rPr>
      </w:pPr>
    </w:p>
    <w:p w:rsidR="00805A7D" w:rsidRDefault="00805A7D" w:rsidP="00805A7D">
      <w:pPr>
        <w:spacing w:line="360" w:lineRule="auto"/>
        <w:ind w:left="1437" w:hanging="735"/>
        <w:jc w:val="both"/>
        <w:rPr>
          <w:rFonts w:ascii="David" w:hAnsi="David"/>
          <w:rtl/>
        </w:rPr>
      </w:pPr>
      <w:r>
        <w:rPr>
          <w:rFonts w:ascii="David" w:hAnsi="David"/>
          <w:rtl/>
        </w:rPr>
        <w:t>ב.</w:t>
      </w:r>
      <w:r>
        <w:rPr>
          <w:rFonts w:ascii="David" w:hAnsi="David"/>
          <w:rtl/>
        </w:rPr>
        <w:tab/>
        <w:t>מועד המסירה כפי שנקבע ע"י בית המשפט הוא 25.12.2022. עיון במערכת נט המשפט מלמד שביום 29.12.2022 הנתבעים קיבלו דואר רשום מבית המשפט שכלל מידע על "...</w:t>
      </w:r>
      <w:r>
        <w:rPr>
          <w:rFonts w:ascii="David" w:hAnsi="David"/>
          <w:b/>
          <w:bCs/>
          <w:rtl/>
        </w:rPr>
        <w:t>כלל פרטי התביעה וכן את פרטי התיק, המבקשים חתמו על אישור המסירה, כל אחד בנפרד. בהמצאה זו, נמסר למבקשים מועד הדיון הקבוע בתיק</w:t>
      </w:r>
      <w:r>
        <w:rPr>
          <w:rFonts w:ascii="David" w:hAnsi="David"/>
          <w:rtl/>
        </w:rPr>
        <w:t>". מסירה נוספת נעשתה על פי המערכת ביום 1.2.2023 וכן ביום 15.2.2023. בכל המסירות הללו מבית המשפט היו כל הנתונים הקשורים בתיק ועל כן תהה התובע  מדוע פנו הנתבעים, כטענתם בבקשה, לבא כוחם לצורך ייצוגם רק ביום 28.2.2023 ורק מאותו מועד התייחסו לתביעה.</w:t>
      </w:r>
    </w:p>
    <w:p w:rsidR="00805A7D" w:rsidRDefault="00805A7D" w:rsidP="00805A7D">
      <w:pPr>
        <w:spacing w:line="360" w:lineRule="auto"/>
        <w:ind w:left="720"/>
        <w:jc w:val="both"/>
        <w:rPr>
          <w:rFonts w:ascii="David" w:hAnsi="David"/>
          <w:rtl/>
        </w:rPr>
      </w:pPr>
    </w:p>
    <w:p w:rsidR="00805A7D" w:rsidRDefault="00805A7D" w:rsidP="00805A7D">
      <w:pPr>
        <w:spacing w:line="360" w:lineRule="auto"/>
        <w:ind w:left="1437" w:hanging="717"/>
        <w:jc w:val="both"/>
        <w:rPr>
          <w:rFonts w:ascii="David" w:hAnsi="David"/>
          <w:rtl/>
        </w:rPr>
      </w:pPr>
      <w:r>
        <w:rPr>
          <w:rFonts w:ascii="David" w:hAnsi="David"/>
          <w:rtl/>
        </w:rPr>
        <w:t>ג.</w:t>
      </w:r>
      <w:r>
        <w:rPr>
          <w:rFonts w:ascii="David" w:hAnsi="David"/>
          <w:rtl/>
        </w:rPr>
        <w:tab/>
        <w:t xml:space="preserve">פרק הזמן להגשת כתב הגנה עומד על 30 יום ולא על 60 יום כטענת בא כוחם של הנתבעים. על כן המועד האחרון להגשת כתב ההגנה היה ביום 24.1.2023 והבקשה למתן פסק דין בהעדר הגנה הוגשה רק ביום 7.2.2023. </w:t>
      </w:r>
    </w:p>
    <w:p w:rsidR="00805A7D" w:rsidRDefault="00805A7D" w:rsidP="00805A7D">
      <w:pPr>
        <w:spacing w:line="360" w:lineRule="auto"/>
        <w:ind w:left="1437" w:hanging="717"/>
        <w:jc w:val="both"/>
        <w:rPr>
          <w:rFonts w:ascii="David" w:hAnsi="David"/>
          <w:rtl/>
        </w:rPr>
      </w:pPr>
    </w:p>
    <w:p w:rsidR="00805A7D" w:rsidRDefault="00805A7D" w:rsidP="00805A7D">
      <w:pPr>
        <w:spacing w:line="360" w:lineRule="auto"/>
        <w:ind w:left="1437" w:hanging="717"/>
        <w:jc w:val="both"/>
        <w:rPr>
          <w:rFonts w:ascii="David" w:hAnsi="David"/>
          <w:rtl/>
        </w:rPr>
      </w:pPr>
      <w:r>
        <w:rPr>
          <w:rFonts w:ascii="David" w:hAnsi="David"/>
          <w:rtl/>
        </w:rPr>
        <w:t>ד.</w:t>
      </w:r>
      <w:r>
        <w:rPr>
          <w:rFonts w:ascii="David" w:hAnsi="David"/>
          <w:rtl/>
        </w:rPr>
        <w:tab/>
        <w:t xml:space="preserve">ההודעה על המצאה מיום 22.12.2022 היא של כתב התביעה והזמנה לדיון והודעת המסירה מיום 9.3.2023 היא של פסק הדין שנמסר לנתבעים על פי החלטה מיום 14.2.2023. </w:t>
      </w:r>
    </w:p>
    <w:p w:rsidR="00805A7D" w:rsidRDefault="00805A7D" w:rsidP="00805A7D">
      <w:pPr>
        <w:spacing w:line="360" w:lineRule="auto"/>
        <w:ind w:left="1437" w:hanging="717"/>
        <w:jc w:val="both"/>
        <w:rPr>
          <w:rFonts w:ascii="David" w:hAnsi="David"/>
          <w:rtl/>
        </w:rPr>
      </w:pPr>
    </w:p>
    <w:p w:rsidR="00805A7D" w:rsidRDefault="00805A7D" w:rsidP="00805A7D">
      <w:pPr>
        <w:spacing w:line="360" w:lineRule="auto"/>
        <w:ind w:left="1437" w:hanging="717"/>
        <w:jc w:val="both"/>
        <w:rPr>
          <w:rFonts w:ascii="David" w:hAnsi="David"/>
          <w:rtl/>
        </w:rPr>
      </w:pPr>
      <w:r>
        <w:rPr>
          <w:rFonts w:ascii="David" w:hAnsi="David"/>
          <w:rtl/>
        </w:rPr>
        <w:t>ה.</w:t>
      </w:r>
      <w:r>
        <w:rPr>
          <w:rFonts w:ascii="David" w:hAnsi="David"/>
          <w:rtl/>
        </w:rPr>
        <w:tab/>
        <w:t>התובע השיב לטענות ההגנה שהועלו ע"י הנתבעים בבקשה לביטול פסק הדין ודחה אותן.</w:t>
      </w:r>
    </w:p>
    <w:p w:rsidR="00805A7D" w:rsidRDefault="00805A7D" w:rsidP="00805A7D">
      <w:pPr>
        <w:spacing w:line="360" w:lineRule="auto"/>
        <w:ind w:left="1437" w:hanging="717"/>
        <w:jc w:val="both"/>
        <w:rPr>
          <w:rFonts w:ascii="David" w:hAnsi="David"/>
          <w:rtl/>
        </w:rPr>
      </w:pPr>
    </w:p>
    <w:p w:rsidR="00805A7D" w:rsidRDefault="00805A7D" w:rsidP="00805A7D">
      <w:pPr>
        <w:spacing w:line="360" w:lineRule="auto"/>
        <w:ind w:left="702" w:hanging="709"/>
        <w:jc w:val="both"/>
        <w:rPr>
          <w:rFonts w:ascii="David" w:hAnsi="David"/>
          <w:rtl/>
        </w:rPr>
      </w:pPr>
      <w:r>
        <w:rPr>
          <w:rFonts w:ascii="David" w:hAnsi="David"/>
          <w:rtl/>
        </w:rPr>
        <w:t>7.</w:t>
      </w:r>
      <w:r>
        <w:rPr>
          <w:rFonts w:ascii="David" w:hAnsi="David"/>
          <w:rtl/>
        </w:rPr>
        <w:tab/>
        <w:t>בין לבין ביום 9.3.2023 הוגשה לתיק הודעה נוספת על המצאה (להלן-</w:t>
      </w:r>
      <w:r>
        <w:rPr>
          <w:rFonts w:ascii="Miriam" w:hAnsi="Miriam" w:cs="Miriam"/>
          <w:b/>
          <w:bCs/>
          <w:rtl/>
        </w:rPr>
        <w:t>ההודעה השנייה</w:t>
      </w:r>
      <w:r>
        <w:rPr>
          <w:rFonts w:ascii="David" w:hAnsi="David"/>
          <w:rtl/>
        </w:rPr>
        <w:t>) בה נטען : "</w:t>
      </w:r>
      <w:r>
        <w:rPr>
          <w:rFonts w:ascii="David" w:hAnsi="David"/>
          <w:b/>
          <w:bCs/>
          <w:rtl/>
        </w:rPr>
        <w:t>2.</w:t>
      </w:r>
      <w:r>
        <w:rPr>
          <w:rFonts w:ascii="David" w:hAnsi="David"/>
          <w:rtl/>
        </w:rPr>
        <w:t xml:space="preserve"> </w:t>
      </w:r>
      <w:r>
        <w:rPr>
          <w:rFonts w:ascii="David" w:hAnsi="David"/>
          <w:b/>
          <w:bCs/>
          <w:rtl/>
        </w:rPr>
        <w:t>ביום 15.02.23 יצאה המסירה ממשרד הח"מ באמצעות שליח.</w:t>
      </w:r>
      <w:r>
        <w:rPr>
          <w:rFonts w:ascii="David" w:hAnsi="David"/>
          <w:rtl/>
        </w:rPr>
        <w:t xml:space="preserve"> </w:t>
      </w:r>
      <w:r>
        <w:rPr>
          <w:rFonts w:ascii="David" w:hAnsi="David"/>
          <w:b/>
          <w:bCs/>
          <w:rtl/>
        </w:rPr>
        <w:t>בשיחת טלפון שהתנהלה בין השליח לנתבעים, אלה סירבו לקבל את המסירה ואף אסרו על השליח להתקרב לדלת ביתם</w:t>
      </w:r>
      <w:r>
        <w:rPr>
          <w:rFonts w:ascii="David" w:hAnsi="David"/>
          <w:rtl/>
        </w:rPr>
        <w:t>"  להודעה השנייה צורף תצהיר מוסר. גם הפעם תצהיר המוסר היה טופס מובנה  בו הצהיר השליח שביום 15.2.2023 בשעה 14:45 מסר את המעטפה "</w:t>
      </w:r>
      <w:r>
        <w:rPr>
          <w:rFonts w:ascii="David" w:hAnsi="David"/>
          <w:b/>
          <w:bCs/>
          <w:rtl/>
        </w:rPr>
        <w:t>לחייב אשר סירב לחתום</w:t>
      </w:r>
      <w:r>
        <w:rPr>
          <w:rFonts w:ascii="David" w:hAnsi="David"/>
          <w:rtl/>
        </w:rPr>
        <w:t>". באישור המסירה שאף הוא צורף להודעה השנייה צוין שהמסירה היא של "</w:t>
      </w:r>
      <w:r>
        <w:rPr>
          <w:rFonts w:ascii="David" w:hAnsi="David"/>
          <w:b/>
          <w:bCs/>
          <w:rtl/>
        </w:rPr>
        <w:t>פסק דין מיום</w:t>
      </w:r>
      <w:r>
        <w:rPr>
          <w:rFonts w:ascii="David" w:hAnsi="David"/>
          <w:rtl/>
        </w:rPr>
        <w:t xml:space="preserve"> </w:t>
      </w:r>
      <w:r>
        <w:rPr>
          <w:rFonts w:ascii="David" w:hAnsi="David"/>
          <w:b/>
          <w:bCs/>
          <w:rtl/>
        </w:rPr>
        <w:t>14.02.23</w:t>
      </w:r>
      <w:r>
        <w:rPr>
          <w:rFonts w:ascii="David" w:hAnsi="David"/>
          <w:rtl/>
        </w:rPr>
        <w:t xml:space="preserve">". באותו טופס נכתב " </w:t>
      </w:r>
      <w:r>
        <w:rPr>
          <w:rFonts w:ascii="David" w:hAnsi="David"/>
          <w:b/>
          <w:bCs/>
          <w:rtl/>
        </w:rPr>
        <w:t xml:space="preserve">אם </w:t>
      </w:r>
      <w:r>
        <w:rPr>
          <w:rFonts w:ascii="David" w:hAnsi="David"/>
          <w:b/>
          <w:bCs/>
          <w:u w:val="single"/>
          <w:rtl/>
        </w:rPr>
        <w:t>לא</w:t>
      </w:r>
      <w:r>
        <w:rPr>
          <w:rFonts w:ascii="David" w:hAnsi="David"/>
          <w:b/>
          <w:bCs/>
          <w:rtl/>
        </w:rPr>
        <w:t xml:space="preserve"> מסרת ציין ב-</w:t>
      </w:r>
      <w:r>
        <w:rPr>
          <w:rFonts w:ascii="David" w:hAnsi="David"/>
          <w:b/>
          <w:bCs/>
        </w:rPr>
        <w:t>X</w:t>
      </w:r>
      <w:r>
        <w:rPr>
          <w:rFonts w:ascii="David" w:hAnsi="David"/>
          <w:b/>
          <w:bCs/>
          <w:rtl/>
        </w:rPr>
        <w:t xml:space="preserve"> את סיבת אי המסירה במקום המתאים מבין אלה</w:t>
      </w:r>
      <w:r>
        <w:rPr>
          <w:rFonts w:ascii="David" w:hAnsi="David"/>
          <w:rtl/>
        </w:rPr>
        <w:t>" השליח סימן-"</w:t>
      </w:r>
      <w:r>
        <w:rPr>
          <w:rFonts w:ascii="David" w:hAnsi="David"/>
          <w:b/>
          <w:bCs/>
          <w:rtl/>
        </w:rPr>
        <w:t>הנמען סירב לקבל</w:t>
      </w:r>
      <w:r>
        <w:rPr>
          <w:rFonts w:ascii="David" w:hAnsi="David"/>
          <w:rtl/>
        </w:rPr>
        <w:t xml:space="preserve">". מבלי להקדים המאוחר האם יש בכך מסירה? ספק בעיני.  </w:t>
      </w:r>
    </w:p>
    <w:p w:rsidR="00805A7D" w:rsidRDefault="00805A7D" w:rsidP="00805A7D">
      <w:pPr>
        <w:spacing w:line="360" w:lineRule="auto"/>
        <w:ind w:left="-7"/>
        <w:jc w:val="both"/>
        <w:rPr>
          <w:rFonts w:ascii="David" w:hAnsi="David"/>
          <w:b/>
          <w:bCs/>
          <w:sz w:val="26"/>
          <w:szCs w:val="26"/>
          <w:rtl/>
        </w:rPr>
      </w:pPr>
      <w:r>
        <w:rPr>
          <w:rFonts w:ascii="David" w:hAnsi="David"/>
          <w:b/>
          <w:bCs/>
          <w:sz w:val="26"/>
          <w:szCs w:val="26"/>
          <w:u w:val="single"/>
          <w:rtl/>
        </w:rPr>
        <w:lastRenderedPageBreak/>
        <w:t>דיון מיום 17.7.2023</w:t>
      </w:r>
      <w:r>
        <w:rPr>
          <w:rFonts w:ascii="David" w:hAnsi="David"/>
          <w:b/>
          <w:bCs/>
          <w:sz w:val="26"/>
          <w:szCs w:val="26"/>
          <w:rtl/>
        </w:rPr>
        <w:t>:</w:t>
      </w:r>
    </w:p>
    <w:p w:rsidR="00805A7D" w:rsidRDefault="00805A7D" w:rsidP="00805A7D">
      <w:pPr>
        <w:spacing w:line="360" w:lineRule="auto"/>
        <w:ind w:left="-7"/>
        <w:jc w:val="both"/>
        <w:rPr>
          <w:rFonts w:ascii="David" w:hAnsi="David"/>
          <w:b/>
          <w:bCs/>
          <w:sz w:val="26"/>
          <w:szCs w:val="26"/>
          <w:rtl/>
        </w:rPr>
      </w:pPr>
    </w:p>
    <w:p w:rsidR="00805A7D" w:rsidRDefault="00805A7D" w:rsidP="00805A7D">
      <w:pPr>
        <w:spacing w:line="360" w:lineRule="auto"/>
        <w:ind w:left="713" w:hanging="720"/>
        <w:jc w:val="both"/>
        <w:rPr>
          <w:rFonts w:ascii="David" w:hAnsi="David"/>
          <w:rtl/>
        </w:rPr>
      </w:pPr>
      <w:r>
        <w:rPr>
          <w:rFonts w:ascii="David" w:hAnsi="David"/>
          <w:rtl/>
        </w:rPr>
        <w:t>8.</w:t>
      </w:r>
      <w:r>
        <w:rPr>
          <w:rFonts w:ascii="David" w:hAnsi="David"/>
          <w:rtl/>
        </w:rPr>
        <w:tab/>
        <w:t>הבקשה נקבעה לדיון ליום 17.7.2023 (להלן-</w:t>
      </w:r>
      <w:r>
        <w:rPr>
          <w:rFonts w:ascii="Miriam" w:hAnsi="Miriam" w:cs="Miriam"/>
          <w:b/>
          <w:bCs/>
          <w:rtl/>
        </w:rPr>
        <w:t>הדיון הראשון</w:t>
      </w:r>
      <w:r>
        <w:rPr>
          <w:rFonts w:ascii="David" w:hAnsi="David"/>
          <w:rtl/>
        </w:rPr>
        <w:t>). כלל חזרו הצדדים בדיון על טענותיהם.</w:t>
      </w:r>
    </w:p>
    <w:p w:rsidR="00805A7D" w:rsidRDefault="00805A7D" w:rsidP="00805A7D">
      <w:pPr>
        <w:spacing w:line="360" w:lineRule="auto"/>
        <w:ind w:left="-7"/>
        <w:jc w:val="both"/>
        <w:rPr>
          <w:rFonts w:ascii="David" w:hAnsi="David"/>
          <w:b/>
          <w:bCs/>
          <w:sz w:val="26"/>
          <w:szCs w:val="26"/>
          <w:u w:val="single"/>
          <w:rtl/>
        </w:rPr>
      </w:pPr>
    </w:p>
    <w:p w:rsidR="00805A7D" w:rsidRDefault="00805A7D" w:rsidP="00805A7D">
      <w:pPr>
        <w:spacing w:line="360" w:lineRule="auto"/>
        <w:ind w:left="-7"/>
        <w:jc w:val="both"/>
        <w:rPr>
          <w:rFonts w:ascii="David" w:hAnsi="David"/>
          <w:b/>
          <w:bCs/>
          <w:sz w:val="26"/>
          <w:szCs w:val="26"/>
          <w:rtl/>
        </w:rPr>
      </w:pPr>
      <w:r>
        <w:rPr>
          <w:rFonts w:ascii="David" w:hAnsi="David"/>
          <w:b/>
          <w:bCs/>
          <w:sz w:val="26"/>
          <w:szCs w:val="26"/>
          <w:u w:val="single"/>
          <w:rtl/>
        </w:rPr>
        <w:t>ההחלטה על ביטול פסק הדין</w:t>
      </w:r>
      <w:r>
        <w:rPr>
          <w:rFonts w:ascii="David" w:hAnsi="David"/>
          <w:b/>
          <w:bCs/>
          <w:sz w:val="26"/>
          <w:szCs w:val="26"/>
          <w:rtl/>
        </w:rPr>
        <w:t>:</w:t>
      </w:r>
    </w:p>
    <w:p w:rsidR="00805A7D" w:rsidRDefault="00805A7D" w:rsidP="00805A7D">
      <w:pPr>
        <w:spacing w:line="360" w:lineRule="auto"/>
        <w:ind w:left="-7"/>
        <w:jc w:val="both"/>
        <w:rPr>
          <w:rFonts w:ascii="David" w:hAnsi="David"/>
          <w:b/>
          <w:bCs/>
          <w:sz w:val="26"/>
          <w:szCs w:val="26"/>
          <w:rtl/>
        </w:rPr>
      </w:pPr>
    </w:p>
    <w:p w:rsidR="00805A7D" w:rsidRDefault="00805A7D" w:rsidP="00805A7D">
      <w:pPr>
        <w:spacing w:line="360" w:lineRule="auto"/>
        <w:ind w:left="-7"/>
        <w:jc w:val="both"/>
        <w:rPr>
          <w:rFonts w:ascii="David" w:hAnsi="David"/>
          <w:rtl/>
        </w:rPr>
      </w:pPr>
      <w:r>
        <w:rPr>
          <w:rFonts w:ascii="David" w:hAnsi="David"/>
          <w:rtl/>
        </w:rPr>
        <w:t>9.</w:t>
      </w:r>
      <w:r>
        <w:rPr>
          <w:rFonts w:ascii="David" w:hAnsi="David"/>
          <w:rtl/>
        </w:rPr>
        <w:tab/>
        <w:t>ביום 13.12.2023  לאחר הדיון ניתנה החלטה בבקשה לביטול פסק הדין :</w:t>
      </w:r>
    </w:p>
    <w:p w:rsidR="00805A7D" w:rsidRDefault="00805A7D" w:rsidP="00805A7D">
      <w:pPr>
        <w:spacing w:line="360" w:lineRule="auto"/>
        <w:ind w:left="-7"/>
        <w:jc w:val="both"/>
        <w:rPr>
          <w:rFonts w:ascii="David" w:hAnsi="David"/>
          <w:rtl/>
        </w:rPr>
      </w:pPr>
    </w:p>
    <w:p w:rsidR="00805A7D" w:rsidRDefault="00805A7D" w:rsidP="00805A7D">
      <w:pPr>
        <w:spacing w:line="360" w:lineRule="auto"/>
        <w:ind w:left="713"/>
        <w:jc w:val="both"/>
        <w:rPr>
          <w:rFonts w:ascii="David" w:hAnsi="David"/>
          <w:rtl/>
        </w:rPr>
      </w:pPr>
      <w:r>
        <w:rPr>
          <w:rFonts w:ascii="David" w:hAnsi="David"/>
          <w:rtl/>
        </w:rPr>
        <w:t>"</w:t>
      </w:r>
      <w:r>
        <w:rPr>
          <w:rFonts w:ascii="David" w:hAnsi="David"/>
          <w:b/>
          <w:bCs/>
          <w:rtl/>
        </w:rPr>
        <w:t>לאחר שעיינתי בבקשה ובתגובה, שמעתי את הצדדים בדיון מיום 17/7/23 ובשים לב לתמלול השיחה בין המבקשים לשליח נחה דעתי שישנו ספק במסירה כדין. מתמלול השיחה עם השליח ניתן ללמוד שבשום שלב לא נאמר למבקשים שמדובר בכתב תביעה/ זימון לדיון וכל שנאמר שמדובר  במעטפה מעו"ד מיכאלי. אמנם נוכח ההיסטוריה המשפטית בין הצדדים נראה שזו המסקנה המתקבלת, אך בהליכים האחרים בין הצדדים מיוצגים המבקשים ע"י עו"ד שטרית, לרבות במסגרת צווי ההגנה בין הצדדים, ועל כן</w:t>
      </w:r>
      <w:r>
        <w:rPr>
          <w:rFonts w:ascii="David" w:hAnsi="David"/>
          <w:rtl/>
        </w:rPr>
        <w:t xml:space="preserve"> </w:t>
      </w:r>
      <w:r>
        <w:rPr>
          <w:rFonts w:ascii="David" w:hAnsi="David"/>
          <w:b/>
          <w:bCs/>
          <w:rtl/>
        </w:rPr>
        <w:t>ניתן היה להסיק שמסירה תבוצע לב"כ מה שלא נעשה (ראה פרוט' מיום 17/7/23 עמ' 5, ש' 18-14). בנסיבות העניין מורה על ביטול פסק הדין. תואיל המזכירות לפתוח את התיק. כתב הגנה יוגש תוך 30 יום. ת"פ  ליום 18/1/23. בנסיבות העניין לא ניתן צו להוצאות</w:t>
      </w:r>
      <w:r>
        <w:rPr>
          <w:rFonts w:ascii="David" w:hAnsi="David"/>
          <w:rtl/>
        </w:rPr>
        <w:t>" (להלן-</w:t>
      </w:r>
      <w:r>
        <w:rPr>
          <w:rFonts w:ascii="Miriam" w:hAnsi="Miriam" w:cs="Miriam"/>
          <w:b/>
          <w:bCs/>
          <w:rtl/>
        </w:rPr>
        <w:t>ההחלטה</w:t>
      </w:r>
      <w:r>
        <w:rPr>
          <w:rFonts w:ascii="David" w:hAnsi="David"/>
          <w:rtl/>
        </w:rPr>
        <w:t>).</w:t>
      </w:r>
    </w:p>
    <w:p w:rsidR="00805A7D" w:rsidRDefault="00805A7D" w:rsidP="00805A7D">
      <w:pPr>
        <w:spacing w:line="360" w:lineRule="auto"/>
        <w:ind w:left="713"/>
        <w:jc w:val="both"/>
        <w:rPr>
          <w:rFonts w:ascii="David" w:hAnsi="David"/>
          <w:rtl/>
        </w:rPr>
      </w:pPr>
    </w:p>
    <w:p w:rsidR="00805A7D" w:rsidRDefault="00805A7D" w:rsidP="00805A7D">
      <w:pPr>
        <w:spacing w:line="360" w:lineRule="auto"/>
        <w:ind w:left="-7"/>
        <w:jc w:val="both"/>
        <w:rPr>
          <w:rFonts w:ascii="David" w:hAnsi="David"/>
          <w:b/>
          <w:bCs/>
          <w:rtl/>
        </w:rPr>
      </w:pPr>
      <w:r>
        <w:rPr>
          <w:rFonts w:ascii="David" w:hAnsi="David"/>
          <w:rtl/>
        </w:rPr>
        <w:tab/>
      </w:r>
      <w:r>
        <w:rPr>
          <w:rFonts w:ascii="David" w:hAnsi="David"/>
          <w:b/>
          <w:bCs/>
          <w:u w:val="single"/>
          <w:rtl/>
        </w:rPr>
        <w:t>כתב הגנה</w:t>
      </w:r>
      <w:r>
        <w:rPr>
          <w:rFonts w:ascii="David" w:hAnsi="David"/>
          <w:b/>
          <w:bCs/>
          <w:rtl/>
        </w:rPr>
        <w:t>:</w:t>
      </w:r>
    </w:p>
    <w:p w:rsidR="00805A7D" w:rsidRDefault="00805A7D" w:rsidP="00805A7D">
      <w:pPr>
        <w:spacing w:line="360" w:lineRule="auto"/>
        <w:ind w:left="-7"/>
        <w:jc w:val="both"/>
        <w:rPr>
          <w:rFonts w:ascii="David" w:hAnsi="David"/>
          <w:rtl/>
        </w:rPr>
      </w:pPr>
    </w:p>
    <w:p w:rsidR="00805A7D" w:rsidRDefault="00805A7D" w:rsidP="00805A7D">
      <w:pPr>
        <w:spacing w:line="360" w:lineRule="auto"/>
        <w:ind w:left="-7"/>
        <w:jc w:val="both"/>
        <w:rPr>
          <w:rFonts w:ascii="David" w:hAnsi="David"/>
          <w:rtl/>
        </w:rPr>
      </w:pPr>
      <w:r>
        <w:rPr>
          <w:rFonts w:ascii="David" w:hAnsi="David"/>
          <w:rtl/>
        </w:rPr>
        <w:t>10.</w:t>
      </w:r>
      <w:r>
        <w:rPr>
          <w:rFonts w:ascii="David" w:hAnsi="David"/>
          <w:rtl/>
        </w:rPr>
        <w:tab/>
        <w:t>כתב הגנה מטעם הנתבעים הוגש ביום 14.1.2024.</w:t>
      </w:r>
    </w:p>
    <w:p w:rsidR="00805A7D" w:rsidRDefault="00805A7D" w:rsidP="00805A7D">
      <w:pPr>
        <w:spacing w:line="360" w:lineRule="auto"/>
        <w:ind w:left="-7"/>
        <w:jc w:val="both"/>
        <w:rPr>
          <w:rFonts w:ascii="David" w:hAnsi="David"/>
          <w:rtl/>
        </w:rPr>
      </w:pPr>
    </w:p>
    <w:p w:rsidR="00805A7D" w:rsidRDefault="00805A7D" w:rsidP="00805A7D">
      <w:pPr>
        <w:spacing w:line="360" w:lineRule="auto"/>
        <w:ind w:left="-7"/>
        <w:jc w:val="both"/>
        <w:rPr>
          <w:rFonts w:ascii="David" w:hAnsi="David"/>
          <w:b/>
          <w:bCs/>
          <w:sz w:val="26"/>
          <w:szCs w:val="26"/>
          <w:rtl/>
        </w:rPr>
      </w:pPr>
      <w:r>
        <w:rPr>
          <w:rFonts w:ascii="David" w:hAnsi="David"/>
          <w:b/>
          <w:bCs/>
          <w:sz w:val="26"/>
          <w:szCs w:val="26"/>
          <w:u w:val="single"/>
          <w:rtl/>
        </w:rPr>
        <w:t>בקשת רשות ערעור</w:t>
      </w:r>
      <w:r>
        <w:rPr>
          <w:rFonts w:ascii="David" w:hAnsi="David"/>
          <w:b/>
          <w:bCs/>
          <w:sz w:val="26"/>
          <w:szCs w:val="26"/>
          <w:rtl/>
        </w:rPr>
        <w:t>:</w:t>
      </w:r>
    </w:p>
    <w:p w:rsidR="00805A7D" w:rsidRDefault="00805A7D" w:rsidP="00805A7D">
      <w:pPr>
        <w:spacing w:line="360" w:lineRule="auto"/>
        <w:ind w:left="-7"/>
        <w:jc w:val="both"/>
        <w:rPr>
          <w:rFonts w:ascii="David" w:hAnsi="David"/>
          <w:b/>
          <w:bCs/>
          <w:sz w:val="26"/>
          <w:szCs w:val="26"/>
          <w:rtl/>
        </w:rPr>
      </w:pPr>
    </w:p>
    <w:p w:rsidR="00805A7D" w:rsidRDefault="00805A7D" w:rsidP="00805A7D">
      <w:pPr>
        <w:spacing w:line="360" w:lineRule="auto"/>
        <w:ind w:left="713" w:hanging="720"/>
        <w:jc w:val="both"/>
        <w:rPr>
          <w:rFonts w:ascii="David" w:hAnsi="David"/>
          <w:rtl/>
        </w:rPr>
      </w:pPr>
      <w:r>
        <w:rPr>
          <w:rFonts w:ascii="David" w:hAnsi="David"/>
          <w:rtl/>
        </w:rPr>
        <w:t>11.</w:t>
      </w:r>
      <w:r>
        <w:rPr>
          <w:rFonts w:ascii="David" w:hAnsi="David"/>
          <w:rtl/>
        </w:rPr>
        <w:tab/>
        <w:t xml:space="preserve">על החלטתי המורה על ביטול פסק הדין שניתן בהעדר הגנה  הוגשה בקשת רשות  ערעור, </w:t>
      </w:r>
      <w:r>
        <w:rPr>
          <w:rFonts w:ascii="David" w:hAnsi="David"/>
          <w:u w:val="single"/>
          <w:rtl/>
        </w:rPr>
        <w:t>רמ"ש 25483-01-24</w:t>
      </w:r>
      <w:r>
        <w:rPr>
          <w:rFonts w:ascii="David" w:hAnsi="David"/>
          <w:rtl/>
        </w:rPr>
        <w:t xml:space="preserve">  (להלן- ה- </w:t>
      </w:r>
      <w:r>
        <w:rPr>
          <w:rFonts w:ascii="David" w:hAnsi="David"/>
          <w:b/>
          <w:bCs/>
          <w:rtl/>
        </w:rPr>
        <w:t>בר"ע</w:t>
      </w:r>
      <w:r>
        <w:rPr>
          <w:rFonts w:ascii="David" w:hAnsi="David"/>
          <w:rtl/>
        </w:rPr>
        <w:t xml:space="preserve">).  </w:t>
      </w:r>
    </w:p>
    <w:p w:rsidR="00805A7D" w:rsidRDefault="00805A7D" w:rsidP="00805A7D">
      <w:pPr>
        <w:spacing w:line="360" w:lineRule="auto"/>
        <w:ind w:left="713" w:hanging="720"/>
        <w:jc w:val="both"/>
        <w:rPr>
          <w:rFonts w:ascii="David" w:hAnsi="David"/>
          <w:rtl/>
        </w:rPr>
      </w:pPr>
    </w:p>
    <w:p w:rsidR="00805A7D" w:rsidRDefault="00805A7D" w:rsidP="00805A7D">
      <w:pPr>
        <w:spacing w:line="360" w:lineRule="auto"/>
        <w:ind w:left="135"/>
        <w:jc w:val="both"/>
        <w:rPr>
          <w:rFonts w:ascii="David" w:hAnsi="David"/>
          <w:rtl/>
        </w:rPr>
      </w:pPr>
      <w:r>
        <w:rPr>
          <w:rFonts w:ascii="David" w:hAnsi="David"/>
          <w:rtl/>
        </w:rPr>
        <w:tab/>
      </w:r>
      <w:r>
        <w:rPr>
          <w:rFonts w:ascii="David" w:hAnsi="David"/>
          <w:u w:val="single"/>
          <w:rtl/>
        </w:rPr>
        <w:t>בפן האופרטיבי קבע בית המשפט המחוזי</w:t>
      </w:r>
      <w:r>
        <w:rPr>
          <w:rFonts w:ascii="David" w:hAnsi="David"/>
          <w:rtl/>
        </w:rPr>
        <w:t xml:space="preserve"> :</w:t>
      </w:r>
    </w:p>
    <w:p w:rsidR="00805A7D" w:rsidRDefault="00805A7D" w:rsidP="00805A7D">
      <w:pPr>
        <w:spacing w:line="360" w:lineRule="auto"/>
        <w:ind w:left="135"/>
        <w:jc w:val="both"/>
        <w:rPr>
          <w:rFonts w:ascii="David" w:hAnsi="David"/>
          <w:rtl/>
        </w:rPr>
      </w:pPr>
    </w:p>
    <w:p w:rsidR="00805A7D" w:rsidRDefault="00805A7D" w:rsidP="00805A7D">
      <w:pPr>
        <w:spacing w:line="360" w:lineRule="auto"/>
        <w:ind w:left="1440" w:hanging="720"/>
        <w:jc w:val="both"/>
        <w:rPr>
          <w:rFonts w:ascii="David" w:hAnsi="David"/>
          <w:rtl/>
        </w:rPr>
      </w:pPr>
      <w:r>
        <w:rPr>
          <w:rFonts w:ascii="David" w:hAnsi="David"/>
          <w:rtl/>
        </w:rPr>
        <w:t>"</w:t>
      </w:r>
      <w:r>
        <w:rPr>
          <w:rFonts w:ascii="David" w:hAnsi="David"/>
          <w:b/>
          <w:bCs/>
          <w:rtl/>
        </w:rPr>
        <w:t>24.</w:t>
      </w:r>
      <w:r>
        <w:rPr>
          <w:rFonts w:ascii="David" w:hAnsi="David"/>
          <w:b/>
          <w:bCs/>
          <w:rtl/>
        </w:rPr>
        <w:tab/>
        <w:t>על יסוד האמור לעיל, באתי לכלל מסקנה, כי בראי הסוגיה שהובאה להכרעת הערכאה הדיונית, בהעדר הנמקה מספקת ובהעדר הבהירות הנדרשת, יש להשיב אליה הדיון בבקשה לביטול פסק הדין והיא תכריע בה כחוכמתה תוך הנמקת ההכרעה כמתחייב בשיטתנו המשפטית.</w:t>
      </w:r>
      <w:r>
        <w:rPr>
          <w:rFonts w:ascii="David" w:hAnsi="David"/>
          <w:rtl/>
        </w:rPr>
        <w:t xml:space="preserve">    </w:t>
      </w:r>
    </w:p>
    <w:p w:rsidR="00805A7D" w:rsidRDefault="00805A7D" w:rsidP="00805A7D">
      <w:pPr>
        <w:pStyle w:val="a3"/>
        <w:spacing w:line="360" w:lineRule="auto"/>
        <w:jc w:val="both"/>
        <w:rPr>
          <w:rFonts w:ascii="David" w:hAnsi="David"/>
          <w:rtl/>
        </w:rPr>
      </w:pPr>
    </w:p>
    <w:p w:rsidR="00805A7D" w:rsidRDefault="00805A7D" w:rsidP="00805A7D">
      <w:pPr>
        <w:spacing w:line="360" w:lineRule="auto"/>
        <w:ind w:left="1440" w:hanging="720"/>
        <w:jc w:val="both"/>
        <w:rPr>
          <w:rFonts w:ascii="David" w:hAnsi="David"/>
          <w:b/>
          <w:bCs/>
          <w:rtl/>
        </w:rPr>
      </w:pPr>
      <w:r>
        <w:rPr>
          <w:rFonts w:ascii="David" w:hAnsi="David"/>
          <w:b/>
          <w:bCs/>
          <w:rtl/>
        </w:rPr>
        <w:lastRenderedPageBreak/>
        <w:t>25.</w:t>
      </w:r>
      <w:r>
        <w:rPr>
          <w:rFonts w:ascii="David" w:hAnsi="David"/>
          <w:b/>
          <w:bCs/>
          <w:rtl/>
        </w:rPr>
        <w:tab/>
        <w:t xml:space="preserve">מובהר, כי אין בכך משום התערבות בשיקול דעתה של הערכאה הדיונית, ואין בכך משום הבעת עמדה באשר לתוצאת ההכרעה ו/או באשר לאופן בו ראוי להשלים מלאכת ההכרעה." </w:t>
      </w:r>
    </w:p>
    <w:p w:rsidR="00805A7D" w:rsidRDefault="00805A7D" w:rsidP="00805A7D">
      <w:pPr>
        <w:spacing w:line="360" w:lineRule="auto"/>
        <w:ind w:left="1440" w:hanging="720"/>
        <w:jc w:val="both"/>
        <w:rPr>
          <w:rFonts w:ascii="David" w:hAnsi="David"/>
          <w:b/>
          <w:bCs/>
          <w:rtl/>
        </w:rPr>
      </w:pPr>
    </w:p>
    <w:p w:rsidR="00805A7D" w:rsidRDefault="00805A7D" w:rsidP="00805A7D">
      <w:pPr>
        <w:spacing w:line="360" w:lineRule="auto"/>
        <w:ind w:left="702" w:hanging="709"/>
        <w:jc w:val="both"/>
        <w:rPr>
          <w:rFonts w:ascii="David" w:hAnsi="David"/>
        </w:rPr>
      </w:pPr>
      <w:r>
        <w:rPr>
          <w:rFonts w:ascii="David" w:hAnsi="David"/>
          <w:rtl/>
        </w:rPr>
        <w:t>12.</w:t>
      </w:r>
      <w:r>
        <w:rPr>
          <w:rFonts w:ascii="David" w:hAnsi="David"/>
          <w:rtl/>
        </w:rPr>
        <w:tab/>
        <w:t>לאחר החלטתו של בית המשפט המחוזי נקבע התיק לדיון ליום 15.10.2024 . בהחלטה נקבע ש "</w:t>
      </w:r>
      <w:r>
        <w:rPr>
          <w:rFonts w:ascii="David" w:hAnsi="David"/>
          <w:b/>
          <w:bCs/>
          <w:rtl/>
        </w:rPr>
        <w:t>לדיון יתייצבו הצדדים, באי כוחם, והשליח המוסר. כך, יצרף ב"כ התובע את הקלטת המקורית שהשיחה שלה תומללה</w:t>
      </w:r>
      <w:r>
        <w:rPr>
          <w:rFonts w:ascii="David" w:hAnsi="David"/>
          <w:rtl/>
        </w:rPr>
        <w:t>".</w:t>
      </w:r>
    </w:p>
    <w:p w:rsidR="00805A7D" w:rsidRDefault="00805A7D" w:rsidP="00805A7D">
      <w:pPr>
        <w:spacing w:line="360" w:lineRule="auto"/>
        <w:ind w:left="702" w:hanging="709"/>
        <w:jc w:val="both"/>
        <w:rPr>
          <w:rFonts w:ascii="David" w:hAnsi="David"/>
          <w:rtl/>
        </w:rPr>
      </w:pPr>
    </w:p>
    <w:p w:rsidR="00805A7D" w:rsidRDefault="00805A7D" w:rsidP="00805A7D">
      <w:pPr>
        <w:spacing w:line="360" w:lineRule="auto"/>
        <w:ind w:left="843" w:hanging="850"/>
        <w:jc w:val="both"/>
        <w:rPr>
          <w:rFonts w:ascii="David" w:hAnsi="David"/>
          <w:b/>
          <w:bCs/>
          <w:rtl/>
        </w:rPr>
      </w:pPr>
      <w:r>
        <w:rPr>
          <w:rFonts w:ascii="David" w:hAnsi="David"/>
          <w:b/>
          <w:bCs/>
          <w:sz w:val="26"/>
          <w:szCs w:val="26"/>
          <w:u w:val="single"/>
          <w:rtl/>
        </w:rPr>
        <w:t>דיון הנוסף מיום 15.10.2024</w:t>
      </w:r>
      <w:r>
        <w:rPr>
          <w:rFonts w:ascii="David" w:hAnsi="David"/>
          <w:b/>
          <w:bCs/>
          <w:rtl/>
        </w:rPr>
        <w:t xml:space="preserve"> </w:t>
      </w:r>
      <w:r>
        <w:rPr>
          <w:rFonts w:ascii="David" w:hAnsi="David"/>
          <w:rtl/>
        </w:rPr>
        <w:t>(להלן-</w:t>
      </w:r>
      <w:r>
        <w:rPr>
          <w:rFonts w:ascii="Miriam" w:hAnsi="Miriam" w:cs="Miriam"/>
          <w:b/>
          <w:bCs/>
          <w:rtl/>
        </w:rPr>
        <w:t>הדיון השני</w:t>
      </w:r>
      <w:r>
        <w:rPr>
          <w:rFonts w:ascii="David" w:hAnsi="David"/>
          <w:b/>
          <w:bCs/>
          <w:rtl/>
        </w:rPr>
        <w:t>)</w:t>
      </w:r>
      <w:r>
        <w:rPr>
          <w:rFonts w:ascii="David" w:hAnsi="David"/>
          <w:rtl/>
        </w:rPr>
        <w:t>:</w:t>
      </w:r>
      <w:r>
        <w:rPr>
          <w:rFonts w:ascii="David" w:hAnsi="David"/>
          <w:b/>
          <w:bCs/>
          <w:rtl/>
        </w:rPr>
        <w:t xml:space="preserve"> </w:t>
      </w:r>
    </w:p>
    <w:p w:rsidR="00805A7D" w:rsidRDefault="00805A7D" w:rsidP="00805A7D">
      <w:pPr>
        <w:spacing w:line="360" w:lineRule="auto"/>
        <w:ind w:left="843" w:hanging="850"/>
        <w:jc w:val="both"/>
        <w:rPr>
          <w:rFonts w:ascii="David" w:hAnsi="David"/>
          <w:b/>
          <w:bCs/>
          <w:rtl/>
        </w:rPr>
      </w:pPr>
    </w:p>
    <w:p w:rsidR="00805A7D" w:rsidRDefault="00805A7D" w:rsidP="00805A7D">
      <w:pPr>
        <w:spacing w:line="360" w:lineRule="auto"/>
        <w:ind w:left="843" w:hanging="850"/>
        <w:jc w:val="both"/>
        <w:rPr>
          <w:rFonts w:ascii="David" w:hAnsi="David"/>
          <w:rtl/>
        </w:rPr>
      </w:pPr>
      <w:r>
        <w:rPr>
          <w:rFonts w:ascii="David" w:hAnsi="David"/>
          <w:rtl/>
        </w:rPr>
        <w:t>13.</w:t>
      </w:r>
      <w:r>
        <w:rPr>
          <w:rFonts w:ascii="David" w:hAnsi="David"/>
          <w:rtl/>
        </w:rPr>
        <w:tab/>
        <w:t>לדיון התייצב  השליח המוסר. בחקירתו הנגדית העיד בהקשר לשאלה המונחת את הדברים הבאים :</w:t>
      </w:r>
    </w:p>
    <w:p w:rsidR="00805A7D" w:rsidRDefault="00805A7D" w:rsidP="00805A7D">
      <w:pPr>
        <w:spacing w:line="360" w:lineRule="auto"/>
        <w:ind w:left="843" w:hanging="850"/>
        <w:jc w:val="both"/>
        <w:rPr>
          <w:rFonts w:ascii="David" w:hAnsi="David"/>
          <w:rtl/>
        </w:rPr>
      </w:pPr>
    </w:p>
    <w:p w:rsidR="00805A7D" w:rsidRDefault="00805A7D" w:rsidP="00805A7D">
      <w:pPr>
        <w:spacing w:line="360" w:lineRule="auto"/>
        <w:ind w:left="720" w:hanging="720"/>
        <w:jc w:val="both"/>
        <w:rPr>
          <w:rFonts w:ascii="David" w:hAnsi="David"/>
          <w:b/>
          <w:bCs/>
          <w:rtl/>
        </w:rPr>
      </w:pPr>
      <w:r>
        <w:rPr>
          <w:rFonts w:ascii="David" w:hAnsi="David"/>
          <w:rtl/>
        </w:rPr>
        <w:tab/>
        <w:t>"</w:t>
      </w:r>
      <w:r>
        <w:rPr>
          <w:rFonts w:ascii="David" w:hAnsi="David"/>
          <w:b/>
          <w:bCs/>
          <w:rtl/>
        </w:rPr>
        <w:t>ש.</w:t>
      </w:r>
      <w:r>
        <w:rPr>
          <w:rFonts w:ascii="David" w:hAnsi="David"/>
          <w:b/>
          <w:bCs/>
          <w:rtl/>
        </w:rPr>
        <w:tab/>
        <w:t>פגשת בנתבעת בפעם הראשונה?</w:t>
      </w:r>
    </w:p>
    <w:p w:rsidR="00805A7D" w:rsidRDefault="00805A7D" w:rsidP="00805A7D">
      <w:pPr>
        <w:spacing w:line="360" w:lineRule="auto"/>
        <w:ind w:left="1440" w:hanging="720"/>
        <w:jc w:val="both"/>
        <w:rPr>
          <w:rFonts w:ascii="David" w:hAnsi="David"/>
          <w:rtl/>
        </w:rPr>
      </w:pPr>
      <w:r>
        <w:rPr>
          <w:rFonts w:ascii="David" w:hAnsi="David"/>
          <w:b/>
          <w:bCs/>
          <w:rtl/>
        </w:rPr>
        <w:t xml:space="preserve"> ת.</w:t>
      </w:r>
      <w:r>
        <w:rPr>
          <w:rFonts w:ascii="David" w:hAnsi="David"/>
          <w:rtl/>
        </w:rPr>
        <w:tab/>
      </w:r>
      <w:r>
        <w:rPr>
          <w:rFonts w:ascii="David" w:hAnsi="David"/>
          <w:b/>
          <w:bCs/>
          <w:rtl/>
        </w:rPr>
        <w:t>דיברתי איתה בטלפון לא זוכר אם פגשתי אותה בפעם הראשונה, בפעם השנייה פגשתי אותה</w:t>
      </w:r>
    </w:p>
    <w:p w:rsidR="00805A7D" w:rsidRDefault="00805A7D" w:rsidP="00805A7D">
      <w:pPr>
        <w:spacing w:line="360" w:lineRule="auto"/>
        <w:ind w:left="720"/>
        <w:jc w:val="both"/>
        <w:rPr>
          <w:rFonts w:ascii="David" w:hAnsi="David"/>
          <w:b/>
          <w:bCs/>
        </w:rPr>
      </w:pPr>
      <w:r>
        <w:rPr>
          <w:rFonts w:ascii="David" w:hAnsi="David"/>
          <w:b/>
          <w:bCs/>
          <w:rtl/>
        </w:rPr>
        <w:t>ש.</w:t>
      </w:r>
      <w:r>
        <w:rPr>
          <w:rFonts w:ascii="David" w:hAnsi="David"/>
          <w:b/>
          <w:bCs/>
          <w:rtl/>
        </w:rPr>
        <w:tab/>
        <w:t>למה היית צריך לפגוש אותה בפעם השנייה?</w:t>
      </w:r>
    </w:p>
    <w:p w:rsidR="00805A7D" w:rsidRDefault="00805A7D" w:rsidP="00805A7D">
      <w:pPr>
        <w:spacing w:line="360" w:lineRule="auto"/>
        <w:ind w:left="1440" w:hanging="720"/>
        <w:jc w:val="both"/>
        <w:rPr>
          <w:rFonts w:ascii="David" w:hAnsi="David"/>
          <w:b/>
          <w:bCs/>
          <w:rtl/>
        </w:rPr>
      </w:pPr>
      <w:r>
        <w:rPr>
          <w:rFonts w:ascii="David" w:hAnsi="David"/>
          <w:b/>
          <w:bCs/>
          <w:rtl/>
        </w:rPr>
        <w:t>ת.</w:t>
      </w:r>
      <w:r>
        <w:rPr>
          <w:rFonts w:ascii="David" w:hAnsi="David"/>
          <w:b/>
          <w:bCs/>
          <w:rtl/>
        </w:rPr>
        <w:tab/>
        <w:t>כי קיבלתי הנחייה מהמשרד עצמו לגשת פעם שנייה שיהיה את החותמת מסרבים לקבל.</w:t>
      </w:r>
    </w:p>
    <w:p w:rsidR="00805A7D" w:rsidRDefault="00805A7D" w:rsidP="00805A7D">
      <w:pPr>
        <w:spacing w:line="360" w:lineRule="auto"/>
        <w:ind w:left="1440" w:hanging="720"/>
        <w:jc w:val="both"/>
        <w:rPr>
          <w:rFonts w:ascii="David" w:hAnsi="David"/>
          <w:b/>
          <w:bCs/>
          <w:rtl/>
        </w:rPr>
      </w:pPr>
      <w:r>
        <w:rPr>
          <w:rFonts w:ascii="David" w:hAnsi="David"/>
          <w:b/>
          <w:bCs/>
          <w:rtl/>
        </w:rPr>
        <w:t>ש.</w:t>
      </w:r>
      <w:r>
        <w:rPr>
          <w:rFonts w:ascii="David" w:hAnsi="David"/>
          <w:b/>
          <w:bCs/>
          <w:rtl/>
        </w:rPr>
        <w:tab/>
        <w:t>אז מודה לפני בית המשפט שבפעם הראשונה לא ביצעת את המסירה ורק שוחחת איתה בטלפון</w:t>
      </w:r>
    </w:p>
    <w:p w:rsidR="00805A7D" w:rsidRDefault="00805A7D" w:rsidP="00805A7D">
      <w:pPr>
        <w:spacing w:line="360" w:lineRule="auto"/>
        <w:ind w:left="720"/>
        <w:jc w:val="both"/>
        <w:rPr>
          <w:rFonts w:ascii="David" w:hAnsi="David"/>
          <w:b/>
          <w:bCs/>
          <w:rtl/>
        </w:rPr>
      </w:pPr>
      <w:r>
        <w:rPr>
          <w:rFonts w:ascii="David" w:hAnsi="David"/>
          <w:b/>
          <w:bCs/>
          <w:rtl/>
        </w:rPr>
        <w:t>ת.</w:t>
      </w:r>
      <w:r>
        <w:rPr>
          <w:rFonts w:ascii="David" w:hAnsi="David"/>
          <w:b/>
          <w:bCs/>
          <w:rtl/>
        </w:rPr>
        <w:tab/>
        <w:t>לא זוכר אם פגשתי אותה או לא, אך שוחחתי איתה בטלפון.</w:t>
      </w:r>
    </w:p>
    <w:p w:rsidR="00805A7D" w:rsidRDefault="00805A7D" w:rsidP="00805A7D">
      <w:pPr>
        <w:spacing w:line="360" w:lineRule="auto"/>
        <w:ind w:left="1440" w:hanging="720"/>
        <w:jc w:val="both"/>
        <w:rPr>
          <w:rFonts w:ascii="David" w:hAnsi="David"/>
          <w:b/>
          <w:bCs/>
          <w:rtl/>
        </w:rPr>
      </w:pPr>
      <w:r>
        <w:rPr>
          <w:rFonts w:ascii="David" w:hAnsi="David"/>
          <w:b/>
          <w:bCs/>
          <w:rtl/>
        </w:rPr>
        <w:t>ש.</w:t>
      </w:r>
      <w:r>
        <w:rPr>
          <w:rFonts w:ascii="David" w:hAnsi="David"/>
          <w:b/>
          <w:bCs/>
          <w:rtl/>
        </w:rPr>
        <w:tab/>
        <w:t>כששוחחת איתה בפעם הראשונה היא שאלה אותך ממי המעטפה וסירבת להזדהות זה נכון?</w:t>
      </w:r>
    </w:p>
    <w:p w:rsidR="00805A7D" w:rsidRDefault="00805A7D" w:rsidP="00805A7D">
      <w:pPr>
        <w:spacing w:line="360" w:lineRule="auto"/>
        <w:ind w:left="720" w:hanging="720"/>
        <w:jc w:val="both"/>
        <w:rPr>
          <w:rFonts w:ascii="David" w:hAnsi="David"/>
          <w:rtl/>
        </w:rPr>
      </w:pPr>
      <w:r>
        <w:rPr>
          <w:rFonts w:ascii="David" w:hAnsi="David"/>
          <w:rtl/>
        </w:rPr>
        <w:tab/>
        <w:t>[...]</w:t>
      </w:r>
    </w:p>
    <w:p w:rsidR="00805A7D" w:rsidRDefault="00805A7D" w:rsidP="00805A7D">
      <w:pPr>
        <w:spacing w:line="360" w:lineRule="auto"/>
        <w:ind w:left="720"/>
        <w:jc w:val="both"/>
        <w:rPr>
          <w:rFonts w:ascii="David" w:hAnsi="David"/>
          <w:b/>
          <w:bCs/>
          <w:rtl/>
        </w:rPr>
      </w:pPr>
      <w:r>
        <w:rPr>
          <w:rFonts w:ascii="David" w:hAnsi="David"/>
          <w:b/>
          <w:bCs/>
          <w:rtl/>
        </w:rPr>
        <w:t>ש.</w:t>
      </w:r>
      <w:r>
        <w:rPr>
          <w:rFonts w:ascii="David" w:hAnsi="David"/>
          <w:b/>
          <w:bCs/>
          <w:rtl/>
        </w:rPr>
        <w:tab/>
        <w:t>קיבלת עוד הנחיות מעבר לתת את המעטפה</w:t>
      </w:r>
    </w:p>
    <w:p w:rsidR="00805A7D" w:rsidRDefault="00805A7D" w:rsidP="00805A7D">
      <w:pPr>
        <w:spacing w:line="360" w:lineRule="auto"/>
        <w:ind w:left="1440" w:hanging="720"/>
        <w:jc w:val="both"/>
        <w:rPr>
          <w:rFonts w:ascii="David" w:hAnsi="David"/>
          <w:rtl/>
        </w:rPr>
      </w:pPr>
      <w:r>
        <w:rPr>
          <w:rFonts w:ascii="David" w:hAnsi="David"/>
          <w:b/>
          <w:bCs/>
          <w:rtl/>
        </w:rPr>
        <w:t>ת.</w:t>
      </w:r>
      <w:r>
        <w:rPr>
          <w:rFonts w:ascii="David" w:hAnsi="David"/>
          <w:b/>
          <w:bCs/>
          <w:rtl/>
        </w:rPr>
        <w:tab/>
        <w:t>סה"כ הייתי צריך להעביר את המעטפה אם הלקוח מסרב הייתי רושם את השעה ומבחינתי זה מקבל. אם אותו לקוח 3 ביקורים לא נמצא אני מניח ועושה סימון של המקום</w:t>
      </w:r>
      <w:r>
        <w:rPr>
          <w:rFonts w:ascii="David" w:hAnsi="David"/>
          <w:rtl/>
        </w:rPr>
        <w:t>.</w:t>
      </w:r>
    </w:p>
    <w:p w:rsidR="00805A7D" w:rsidRDefault="00805A7D" w:rsidP="00805A7D">
      <w:pPr>
        <w:spacing w:line="360" w:lineRule="auto"/>
        <w:ind w:left="720" w:hanging="720"/>
        <w:jc w:val="both"/>
        <w:rPr>
          <w:rFonts w:ascii="David" w:hAnsi="David"/>
          <w:rtl/>
        </w:rPr>
      </w:pPr>
      <w:r>
        <w:rPr>
          <w:rFonts w:ascii="David" w:hAnsi="David"/>
          <w:rtl/>
        </w:rPr>
        <w:tab/>
        <w:t>[...]</w:t>
      </w:r>
      <w:r>
        <w:rPr>
          <w:rFonts w:ascii="David" w:hAnsi="David"/>
          <w:rtl/>
        </w:rPr>
        <w:tab/>
      </w:r>
    </w:p>
    <w:p w:rsidR="00805A7D" w:rsidRDefault="00805A7D" w:rsidP="00805A7D">
      <w:pPr>
        <w:spacing w:line="360" w:lineRule="auto"/>
        <w:ind w:left="1440" w:hanging="720"/>
        <w:jc w:val="both"/>
        <w:rPr>
          <w:rFonts w:ascii="David" w:hAnsi="David"/>
          <w:b/>
          <w:bCs/>
          <w:rtl/>
        </w:rPr>
      </w:pPr>
      <w:r>
        <w:rPr>
          <w:rFonts w:ascii="David" w:hAnsi="David"/>
          <w:b/>
          <w:bCs/>
          <w:rtl/>
        </w:rPr>
        <w:t>ש.</w:t>
      </w:r>
      <w:r>
        <w:rPr>
          <w:rFonts w:ascii="David" w:hAnsi="David"/>
          <w:b/>
          <w:bCs/>
          <w:rtl/>
        </w:rPr>
        <w:tab/>
        <w:t>אתה מצהיר שביצעת מסירה אשר סירב לחתום ומהעדות שלך עולה שכלל לא פגשת</w:t>
      </w:r>
    </w:p>
    <w:p w:rsidR="00805A7D" w:rsidRDefault="00805A7D" w:rsidP="00805A7D">
      <w:pPr>
        <w:spacing w:line="360" w:lineRule="auto"/>
        <w:ind w:left="720"/>
        <w:jc w:val="both"/>
        <w:rPr>
          <w:rFonts w:ascii="David" w:hAnsi="David"/>
          <w:b/>
          <w:bCs/>
          <w:rtl/>
        </w:rPr>
      </w:pPr>
      <w:r>
        <w:rPr>
          <w:rFonts w:ascii="David" w:hAnsi="David"/>
          <w:b/>
          <w:bCs/>
          <w:rtl/>
        </w:rPr>
        <w:t>ת.</w:t>
      </w:r>
      <w:r>
        <w:rPr>
          <w:rFonts w:ascii="David" w:hAnsi="David"/>
          <w:b/>
          <w:bCs/>
          <w:rtl/>
        </w:rPr>
        <w:tab/>
        <w:t>אמרתי שאני לא זוכר.</w:t>
      </w:r>
    </w:p>
    <w:p w:rsidR="00805A7D" w:rsidRDefault="00805A7D" w:rsidP="00805A7D">
      <w:pPr>
        <w:spacing w:line="360" w:lineRule="auto"/>
        <w:ind w:left="720"/>
        <w:jc w:val="both"/>
        <w:rPr>
          <w:rFonts w:ascii="David" w:hAnsi="David"/>
          <w:b/>
          <w:bCs/>
          <w:rtl/>
        </w:rPr>
      </w:pPr>
      <w:r>
        <w:rPr>
          <w:rFonts w:ascii="David" w:hAnsi="David"/>
          <w:b/>
          <w:bCs/>
          <w:rtl/>
        </w:rPr>
        <w:t>ש.</w:t>
      </w:r>
      <w:r>
        <w:rPr>
          <w:rFonts w:ascii="David" w:hAnsi="David"/>
          <w:b/>
          <w:bCs/>
          <w:rtl/>
        </w:rPr>
        <w:tab/>
        <w:t>אתה מודה ששוחחת איתה בטלפון ולא פגשת אותה</w:t>
      </w:r>
    </w:p>
    <w:p w:rsidR="00805A7D" w:rsidRDefault="00805A7D" w:rsidP="00805A7D">
      <w:pPr>
        <w:spacing w:line="360" w:lineRule="auto"/>
        <w:ind w:left="720"/>
        <w:jc w:val="both"/>
        <w:rPr>
          <w:rFonts w:ascii="David" w:hAnsi="David"/>
          <w:b/>
          <w:bCs/>
          <w:rtl/>
        </w:rPr>
      </w:pPr>
      <w:r>
        <w:rPr>
          <w:rFonts w:ascii="David" w:hAnsi="David"/>
          <w:b/>
          <w:bCs/>
          <w:rtl/>
        </w:rPr>
        <w:t>ת.</w:t>
      </w:r>
      <w:r>
        <w:rPr>
          <w:rFonts w:ascii="David" w:hAnsi="David"/>
          <w:b/>
          <w:bCs/>
          <w:rtl/>
        </w:rPr>
        <w:tab/>
        <w:t>אני אמרתי שאני לא זוכר אם פגשתי אותה אבל זוכר ששוחחתי איתה בטלפון.</w:t>
      </w:r>
    </w:p>
    <w:p w:rsidR="00805A7D" w:rsidRDefault="00805A7D" w:rsidP="00805A7D">
      <w:pPr>
        <w:spacing w:line="360" w:lineRule="auto"/>
        <w:ind w:left="1440" w:hanging="720"/>
        <w:jc w:val="both"/>
        <w:rPr>
          <w:rFonts w:ascii="David" w:hAnsi="David"/>
          <w:b/>
          <w:bCs/>
          <w:rtl/>
        </w:rPr>
      </w:pPr>
      <w:r>
        <w:rPr>
          <w:rFonts w:ascii="David" w:hAnsi="David"/>
          <w:b/>
          <w:bCs/>
          <w:rtl/>
        </w:rPr>
        <w:t>ש.</w:t>
      </w:r>
      <w:r>
        <w:rPr>
          <w:rFonts w:ascii="David" w:hAnsi="David"/>
          <w:b/>
          <w:bCs/>
          <w:rtl/>
        </w:rPr>
        <w:tab/>
        <w:t>כשאתה שואל אותה איפה הם נמצאים אולי זה יעזור לך להחליט אם פגשת אותה או לא.</w:t>
      </w:r>
    </w:p>
    <w:p w:rsidR="00805A7D" w:rsidRDefault="00805A7D" w:rsidP="00805A7D">
      <w:pPr>
        <w:spacing w:line="360" w:lineRule="auto"/>
        <w:ind w:left="720"/>
        <w:jc w:val="both"/>
        <w:rPr>
          <w:rFonts w:ascii="David" w:hAnsi="David"/>
          <w:b/>
          <w:bCs/>
          <w:rtl/>
        </w:rPr>
      </w:pPr>
      <w:r>
        <w:rPr>
          <w:rFonts w:ascii="David" w:hAnsi="David"/>
          <w:b/>
          <w:bCs/>
          <w:rtl/>
        </w:rPr>
        <w:lastRenderedPageBreak/>
        <w:t>ת.</w:t>
      </w:r>
      <w:r>
        <w:rPr>
          <w:rFonts w:ascii="David" w:hAnsi="David"/>
          <w:b/>
          <w:bCs/>
          <w:rtl/>
        </w:rPr>
        <w:tab/>
        <w:t>או קיי.</w:t>
      </w:r>
    </w:p>
    <w:p w:rsidR="00805A7D" w:rsidRDefault="00805A7D" w:rsidP="00805A7D">
      <w:pPr>
        <w:spacing w:line="360" w:lineRule="auto"/>
        <w:ind w:left="720"/>
        <w:jc w:val="both"/>
        <w:rPr>
          <w:rFonts w:ascii="David" w:hAnsi="David"/>
          <w:b/>
          <w:bCs/>
          <w:rtl/>
        </w:rPr>
      </w:pPr>
      <w:r>
        <w:rPr>
          <w:rFonts w:ascii="David" w:hAnsi="David"/>
          <w:b/>
          <w:bCs/>
          <w:rtl/>
        </w:rPr>
        <w:t>ש.</w:t>
      </w:r>
      <w:r>
        <w:rPr>
          <w:rFonts w:ascii="David" w:hAnsi="David"/>
          <w:b/>
          <w:bCs/>
          <w:rtl/>
        </w:rPr>
        <w:tab/>
        <w:t>פגשת אותה או לא פגשת?</w:t>
      </w:r>
    </w:p>
    <w:p w:rsidR="00805A7D" w:rsidRDefault="00805A7D" w:rsidP="00805A7D">
      <w:pPr>
        <w:spacing w:line="360" w:lineRule="auto"/>
        <w:ind w:left="1440" w:hanging="720"/>
        <w:jc w:val="both"/>
        <w:rPr>
          <w:rFonts w:ascii="David" w:hAnsi="David"/>
          <w:b/>
          <w:bCs/>
          <w:rtl/>
        </w:rPr>
      </w:pPr>
      <w:r>
        <w:rPr>
          <w:rFonts w:ascii="David" w:hAnsi="David"/>
          <w:b/>
          <w:bCs/>
          <w:rtl/>
        </w:rPr>
        <w:t>ת.</w:t>
      </w:r>
      <w:r>
        <w:rPr>
          <w:rFonts w:ascii="David" w:hAnsi="David"/>
          <w:b/>
          <w:bCs/>
          <w:rtl/>
        </w:rPr>
        <w:tab/>
        <w:t>אני לא זוכר, לפי מה שאני מבין מהשיחה אז כן פגשתי. כי כתוב עוד כמה דקות אני מגיע אלייך.</w:t>
      </w:r>
    </w:p>
    <w:p w:rsidR="00805A7D" w:rsidRDefault="00805A7D" w:rsidP="00805A7D">
      <w:pPr>
        <w:spacing w:line="360" w:lineRule="auto"/>
        <w:ind w:left="720"/>
        <w:jc w:val="both"/>
        <w:rPr>
          <w:rFonts w:ascii="David" w:hAnsi="David"/>
          <w:b/>
          <w:bCs/>
          <w:rtl/>
        </w:rPr>
      </w:pPr>
      <w:r>
        <w:rPr>
          <w:rFonts w:ascii="David" w:hAnsi="David"/>
          <w:b/>
          <w:bCs/>
          <w:rtl/>
        </w:rPr>
        <w:t>ש.</w:t>
      </w:r>
      <w:r>
        <w:rPr>
          <w:rFonts w:ascii="David" w:hAnsi="David"/>
          <w:b/>
          <w:bCs/>
          <w:rtl/>
        </w:rPr>
        <w:tab/>
        <w:t>אם היה ספק במסירה הראשונה נדרשת לבצע עוד פעם שיחת טלפון נכון?</w:t>
      </w:r>
    </w:p>
    <w:p w:rsidR="00805A7D" w:rsidRDefault="00805A7D" w:rsidP="00805A7D">
      <w:pPr>
        <w:spacing w:line="360" w:lineRule="auto"/>
        <w:ind w:left="720"/>
        <w:jc w:val="both"/>
        <w:rPr>
          <w:rFonts w:ascii="David" w:hAnsi="David"/>
          <w:b/>
          <w:bCs/>
          <w:rtl/>
        </w:rPr>
      </w:pPr>
      <w:r>
        <w:rPr>
          <w:rFonts w:ascii="David" w:hAnsi="David"/>
          <w:b/>
          <w:bCs/>
          <w:rtl/>
        </w:rPr>
        <w:t>ת.</w:t>
      </w:r>
      <w:r>
        <w:rPr>
          <w:rFonts w:ascii="David" w:hAnsi="David"/>
          <w:b/>
          <w:bCs/>
          <w:rtl/>
        </w:rPr>
        <w:tab/>
        <w:t>כן</w:t>
      </w:r>
    </w:p>
    <w:p w:rsidR="00805A7D" w:rsidRDefault="00805A7D" w:rsidP="00805A7D">
      <w:pPr>
        <w:spacing w:line="360" w:lineRule="auto"/>
        <w:ind w:left="720"/>
        <w:jc w:val="both"/>
        <w:rPr>
          <w:rFonts w:ascii="David" w:hAnsi="David"/>
          <w:b/>
          <w:bCs/>
          <w:rtl/>
        </w:rPr>
      </w:pPr>
      <w:r>
        <w:rPr>
          <w:rFonts w:ascii="David" w:hAnsi="David"/>
          <w:b/>
          <w:bCs/>
          <w:rtl/>
        </w:rPr>
        <w:t>ש.</w:t>
      </w:r>
      <w:r>
        <w:rPr>
          <w:rFonts w:ascii="David" w:hAnsi="David"/>
          <w:b/>
          <w:bCs/>
          <w:rtl/>
        </w:rPr>
        <w:tab/>
        <w:t>מה היה בשיחה השנייה?</w:t>
      </w:r>
    </w:p>
    <w:p w:rsidR="00805A7D" w:rsidRDefault="00805A7D" w:rsidP="00805A7D">
      <w:pPr>
        <w:spacing w:line="360" w:lineRule="auto"/>
        <w:ind w:left="1440" w:hanging="720"/>
        <w:jc w:val="both"/>
        <w:rPr>
          <w:rFonts w:ascii="David" w:hAnsi="David"/>
          <w:b/>
          <w:bCs/>
          <w:rtl/>
        </w:rPr>
      </w:pPr>
      <w:r>
        <w:rPr>
          <w:rFonts w:ascii="David" w:hAnsi="David"/>
          <w:b/>
          <w:bCs/>
          <w:rtl/>
        </w:rPr>
        <w:t>ת.</w:t>
      </w:r>
      <w:r>
        <w:rPr>
          <w:rFonts w:ascii="David" w:hAnsi="David"/>
          <w:b/>
          <w:bCs/>
          <w:rtl/>
        </w:rPr>
        <w:tab/>
        <w:t>מה שרשום, דיברתי איתה בטלפון לא זוכר אם דיברתי עם הגבר או האישה, שאלו ממי המכתב בסופו של דבר אמרתי שזה מהמשרד של אבי מיכאלי, הגעתי לשם והם סירבו לקבל, ניסיתי להסביר שגם אם יסרבו לקבל אני יכול להשאיר להם על הדלת ומבחינתי יש מסירה.</w:t>
      </w:r>
    </w:p>
    <w:p w:rsidR="00805A7D" w:rsidRDefault="00805A7D" w:rsidP="00805A7D">
      <w:pPr>
        <w:spacing w:line="360" w:lineRule="auto"/>
        <w:ind w:left="720"/>
        <w:jc w:val="both"/>
        <w:rPr>
          <w:rFonts w:ascii="David" w:hAnsi="David"/>
          <w:b/>
          <w:bCs/>
          <w:rtl/>
        </w:rPr>
      </w:pPr>
      <w:r>
        <w:rPr>
          <w:rFonts w:ascii="David" w:hAnsi="David"/>
          <w:b/>
          <w:bCs/>
          <w:rtl/>
        </w:rPr>
        <w:t>ש.</w:t>
      </w:r>
      <w:r>
        <w:rPr>
          <w:rFonts w:ascii="David" w:hAnsi="David"/>
          <w:b/>
          <w:bCs/>
          <w:rtl/>
        </w:rPr>
        <w:tab/>
        <w:t>הגעת אליהם הביתה בפעם השנייה?</w:t>
      </w:r>
    </w:p>
    <w:p w:rsidR="00805A7D" w:rsidRDefault="00805A7D" w:rsidP="00805A7D">
      <w:pPr>
        <w:spacing w:line="360" w:lineRule="auto"/>
        <w:ind w:left="720"/>
        <w:jc w:val="both"/>
        <w:rPr>
          <w:rFonts w:ascii="David" w:hAnsi="David"/>
          <w:b/>
          <w:bCs/>
          <w:rtl/>
        </w:rPr>
      </w:pPr>
      <w:r>
        <w:rPr>
          <w:rFonts w:ascii="David" w:hAnsi="David"/>
          <w:b/>
          <w:bCs/>
          <w:rtl/>
        </w:rPr>
        <w:t>ת.</w:t>
      </w:r>
      <w:r>
        <w:rPr>
          <w:rFonts w:ascii="David" w:hAnsi="David"/>
          <w:b/>
          <w:bCs/>
          <w:rtl/>
        </w:rPr>
        <w:tab/>
        <w:t>כן</w:t>
      </w:r>
    </w:p>
    <w:p w:rsidR="00805A7D" w:rsidRDefault="00805A7D" w:rsidP="00805A7D">
      <w:pPr>
        <w:spacing w:line="360" w:lineRule="auto"/>
        <w:ind w:left="720"/>
        <w:jc w:val="both"/>
        <w:rPr>
          <w:rFonts w:ascii="David" w:hAnsi="David"/>
          <w:b/>
          <w:bCs/>
          <w:rtl/>
        </w:rPr>
      </w:pPr>
      <w:r>
        <w:rPr>
          <w:rFonts w:ascii="David" w:hAnsi="David"/>
          <w:b/>
          <w:bCs/>
          <w:rtl/>
        </w:rPr>
        <w:t>ש.</w:t>
      </w:r>
      <w:r>
        <w:rPr>
          <w:rFonts w:ascii="David" w:hAnsi="David"/>
          <w:b/>
          <w:bCs/>
          <w:rtl/>
        </w:rPr>
        <w:tab/>
        <w:t>והשארת את המעטפה על הדלת?</w:t>
      </w:r>
    </w:p>
    <w:p w:rsidR="00805A7D" w:rsidRDefault="00805A7D" w:rsidP="00805A7D">
      <w:pPr>
        <w:spacing w:line="360" w:lineRule="auto"/>
        <w:ind w:left="720"/>
        <w:jc w:val="both"/>
        <w:rPr>
          <w:rFonts w:ascii="David" w:hAnsi="David"/>
          <w:rtl/>
        </w:rPr>
      </w:pPr>
      <w:r>
        <w:rPr>
          <w:rFonts w:ascii="David" w:hAnsi="David"/>
          <w:b/>
          <w:bCs/>
          <w:rtl/>
        </w:rPr>
        <w:t>ת.</w:t>
      </w:r>
      <w:r>
        <w:rPr>
          <w:rFonts w:ascii="David" w:hAnsi="David"/>
          <w:b/>
          <w:bCs/>
          <w:rtl/>
        </w:rPr>
        <w:tab/>
        <w:t>כן</w:t>
      </w:r>
      <w:r>
        <w:rPr>
          <w:rFonts w:ascii="David" w:hAnsi="David"/>
          <w:rtl/>
        </w:rPr>
        <w:t>.</w:t>
      </w:r>
    </w:p>
    <w:p w:rsidR="00805A7D" w:rsidRDefault="00805A7D" w:rsidP="00805A7D">
      <w:pPr>
        <w:spacing w:line="360" w:lineRule="auto"/>
        <w:ind w:left="720"/>
        <w:jc w:val="both"/>
        <w:rPr>
          <w:rFonts w:ascii="David" w:hAnsi="David"/>
          <w:b/>
          <w:bCs/>
          <w:rtl/>
        </w:rPr>
      </w:pPr>
      <w:r>
        <w:rPr>
          <w:rFonts w:ascii="David" w:hAnsi="David"/>
          <w:b/>
          <w:bCs/>
          <w:rtl/>
        </w:rPr>
        <w:t>ש.</w:t>
      </w:r>
      <w:r>
        <w:rPr>
          <w:rFonts w:ascii="David" w:hAnsi="David"/>
          <w:b/>
          <w:bCs/>
          <w:rtl/>
        </w:rPr>
        <w:tab/>
        <w:t>למה?</w:t>
      </w:r>
    </w:p>
    <w:p w:rsidR="00805A7D" w:rsidRDefault="00805A7D" w:rsidP="00805A7D">
      <w:pPr>
        <w:spacing w:line="360" w:lineRule="auto"/>
        <w:ind w:left="720"/>
        <w:jc w:val="both"/>
        <w:rPr>
          <w:rFonts w:ascii="David" w:hAnsi="David"/>
          <w:b/>
          <w:bCs/>
          <w:rtl/>
        </w:rPr>
      </w:pPr>
      <w:r>
        <w:rPr>
          <w:rFonts w:ascii="David" w:hAnsi="David"/>
          <w:b/>
          <w:bCs/>
          <w:rtl/>
        </w:rPr>
        <w:t>ת.</w:t>
      </w:r>
      <w:r>
        <w:rPr>
          <w:rFonts w:ascii="David" w:hAnsi="David"/>
          <w:b/>
          <w:bCs/>
          <w:rtl/>
        </w:rPr>
        <w:tab/>
        <w:t>כי סירבו לקבל את המעטפה.</w:t>
      </w:r>
    </w:p>
    <w:p w:rsidR="00805A7D" w:rsidRDefault="00805A7D" w:rsidP="00805A7D">
      <w:pPr>
        <w:spacing w:line="360" w:lineRule="auto"/>
        <w:ind w:left="720"/>
        <w:jc w:val="both"/>
        <w:rPr>
          <w:rFonts w:ascii="David" w:hAnsi="David"/>
          <w:b/>
          <w:bCs/>
          <w:rtl/>
        </w:rPr>
      </w:pPr>
      <w:r>
        <w:rPr>
          <w:rFonts w:ascii="David" w:hAnsi="David"/>
          <w:b/>
          <w:bCs/>
          <w:rtl/>
        </w:rPr>
        <w:t>ש.</w:t>
      </w:r>
      <w:r>
        <w:rPr>
          <w:rFonts w:ascii="David" w:hAnsi="David"/>
          <w:b/>
          <w:bCs/>
          <w:rtl/>
        </w:rPr>
        <w:tab/>
        <w:t>הוא היה וסירב בפעם השנייה?</w:t>
      </w:r>
    </w:p>
    <w:p w:rsidR="00805A7D" w:rsidRDefault="00805A7D" w:rsidP="00805A7D">
      <w:pPr>
        <w:spacing w:line="360" w:lineRule="auto"/>
        <w:ind w:left="720"/>
        <w:jc w:val="both"/>
        <w:rPr>
          <w:rFonts w:ascii="David" w:hAnsi="David"/>
          <w:rtl/>
        </w:rPr>
      </w:pPr>
      <w:r>
        <w:rPr>
          <w:rFonts w:ascii="David" w:hAnsi="David"/>
          <w:b/>
          <w:bCs/>
          <w:rtl/>
        </w:rPr>
        <w:t>ת.</w:t>
      </w:r>
      <w:r>
        <w:rPr>
          <w:rFonts w:ascii="David" w:hAnsi="David"/>
          <w:b/>
          <w:bCs/>
          <w:rtl/>
        </w:rPr>
        <w:tab/>
        <w:t>כן</w:t>
      </w:r>
      <w:r>
        <w:rPr>
          <w:rFonts w:ascii="David" w:hAnsi="David"/>
          <w:rtl/>
        </w:rPr>
        <w:t>.</w:t>
      </w:r>
    </w:p>
    <w:p w:rsidR="00805A7D" w:rsidRDefault="00805A7D" w:rsidP="00805A7D">
      <w:pPr>
        <w:spacing w:line="360" w:lineRule="auto"/>
        <w:ind w:left="720" w:hanging="720"/>
        <w:jc w:val="both"/>
        <w:rPr>
          <w:rFonts w:ascii="David" w:hAnsi="David"/>
          <w:rtl/>
        </w:rPr>
      </w:pPr>
      <w:r>
        <w:rPr>
          <w:rFonts w:ascii="David" w:hAnsi="David"/>
          <w:rtl/>
        </w:rPr>
        <w:tab/>
        <w:t>[...]</w:t>
      </w:r>
    </w:p>
    <w:p w:rsidR="00805A7D" w:rsidRDefault="00805A7D" w:rsidP="00805A7D">
      <w:pPr>
        <w:spacing w:line="360" w:lineRule="auto"/>
        <w:ind w:left="1440" w:hanging="720"/>
        <w:jc w:val="both"/>
        <w:rPr>
          <w:rFonts w:ascii="David" w:hAnsi="David"/>
          <w:b/>
          <w:bCs/>
          <w:rtl/>
        </w:rPr>
      </w:pPr>
      <w:r>
        <w:rPr>
          <w:rFonts w:ascii="David" w:hAnsi="David"/>
          <w:b/>
          <w:bCs/>
          <w:rtl/>
        </w:rPr>
        <w:t>ש.</w:t>
      </w:r>
      <w:r>
        <w:rPr>
          <w:rFonts w:ascii="David" w:hAnsi="David"/>
          <w:b/>
          <w:bCs/>
          <w:rtl/>
        </w:rPr>
        <w:tab/>
        <w:t>בכל התצהירים ובכל התמלול אין אזכור אפילו ברמז שהשארת להם מעטיפה, מה אתה אומר, היום אתה משפר את הגרסה שלך? למה אין אזכור</w:t>
      </w:r>
    </w:p>
    <w:p w:rsidR="00805A7D" w:rsidRDefault="00805A7D" w:rsidP="00805A7D">
      <w:pPr>
        <w:spacing w:line="360" w:lineRule="auto"/>
        <w:ind w:left="1440" w:hanging="720"/>
        <w:jc w:val="both"/>
        <w:rPr>
          <w:rFonts w:ascii="David" w:hAnsi="David"/>
          <w:b/>
          <w:bCs/>
          <w:rtl/>
        </w:rPr>
      </w:pPr>
      <w:r>
        <w:rPr>
          <w:rFonts w:ascii="David" w:hAnsi="David"/>
          <w:b/>
          <w:bCs/>
          <w:rtl/>
        </w:rPr>
        <w:t>ת.</w:t>
      </w:r>
      <w:r>
        <w:rPr>
          <w:rFonts w:ascii="David" w:hAnsi="David"/>
          <w:b/>
          <w:bCs/>
          <w:rtl/>
        </w:rPr>
        <w:tab/>
        <w:t>אני לא יודע אם אני צריך להגיד להם שאני משאיר להם על הדלת או כל דבר אחר.</w:t>
      </w:r>
    </w:p>
    <w:p w:rsidR="00805A7D" w:rsidRDefault="00805A7D" w:rsidP="00805A7D">
      <w:pPr>
        <w:spacing w:line="360" w:lineRule="auto"/>
        <w:ind w:left="720"/>
        <w:jc w:val="both"/>
        <w:rPr>
          <w:rFonts w:ascii="David" w:hAnsi="David"/>
          <w:b/>
          <w:bCs/>
          <w:rtl/>
        </w:rPr>
      </w:pPr>
      <w:r>
        <w:rPr>
          <w:rFonts w:ascii="David" w:hAnsi="David"/>
          <w:b/>
          <w:bCs/>
          <w:rtl/>
        </w:rPr>
        <w:t>ש.</w:t>
      </w:r>
      <w:r>
        <w:rPr>
          <w:rFonts w:ascii="David" w:hAnsi="David"/>
          <w:b/>
          <w:bCs/>
          <w:rtl/>
        </w:rPr>
        <w:tab/>
        <w:t>זה ההנחיות שאתה מקבל בכל מסירה</w:t>
      </w:r>
    </w:p>
    <w:p w:rsidR="00805A7D" w:rsidRDefault="00805A7D" w:rsidP="00805A7D">
      <w:pPr>
        <w:spacing w:line="360" w:lineRule="auto"/>
        <w:ind w:left="720"/>
        <w:jc w:val="both"/>
        <w:rPr>
          <w:rFonts w:ascii="David" w:hAnsi="David"/>
          <w:b/>
          <w:bCs/>
          <w:rtl/>
        </w:rPr>
      </w:pPr>
      <w:r>
        <w:rPr>
          <w:rFonts w:ascii="David" w:hAnsi="David"/>
          <w:b/>
          <w:bCs/>
          <w:rtl/>
        </w:rPr>
        <w:t>ת.</w:t>
      </w:r>
      <w:r>
        <w:rPr>
          <w:rFonts w:ascii="David" w:hAnsi="David"/>
          <w:b/>
          <w:bCs/>
          <w:rtl/>
        </w:rPr>
        <w:tab/>
        <w:t>שאם אדם מסרב אתה משאיר על הדלת וזה מה שעשיתי.</w:t>
      </w:r>
    </w:p>
    <w:p w:rsidR="00805A7D" w:rsidRDefault="00805A7D" w:rsidP="00805A7D">
      <w:pPr>
        <w:spacing w:line="360" w:lineRule="auto"/>
        <w:ind w:left="720"/>
        <w:jc w:val="both"/>
        <w:rPr>
          <w:rFonts w:ascii="David" w:hAnsi="David"/>
          <w:b/>
          <w:bCs/>
          <w:rtl/>
        </w:rPr>
      </w:pPr>
      <w:r>
        <w:rPr>
          <w:rFonts w:ascii="David" w:hAnsi="David"/>
          <w:b/>
          <w:bCs/>
          <w:rtl/>
        </w:rPr>
        <w:t>ש.</w:t>
      </w:r>
      <w:r>
        <w:rPr>
          <w:rFonts w:ascii="David" w:hAnsi="David"/>
          <w:b/>
          <w:bCs/>
          <w:rtl/>
        </w:rPr>
        <w:tab/>
        <w:t>פעם ראשונה הייתה לצורך מסירת כתב התביעה זה נכון?</w:t>
      </w:r>
    </w:p>
    <w:p w:rsidR="00805A7D" w:rsidRDefault="00805A7D" w:rsidP="00805A7D">
      <w:pPr>
        <w:spacing w:line="360" w:lineRule="auto"/>
        <w:ind w:left="720"/>
        <w:jc w:val="both"/>
        <w:rPr>
          <w:rFonts w:ascii="David" w:hAnsi="David"/>
          <w:b/>
          <w:bCs/>
          <w:rtl/>
        </w:rPr>
      </w:pPr>
      <w:r>
        <w:rPr>
          <w:rFonts w:ascii="David" w:hAnsi="David"/>
          <w:b/>
          <w:bCs/>
          <w:rtl/>
        </w:rPr>
        <w:t>ת.</w:t>
      </w:r>
      <w:r>
        <w:rPr>
          <w:rFonts w:ascii="David" w:hAnsi="David"/>
          <w:b/>
          <w:bCs/>
          <w:rtl/>
        </w:rPr>
        <w:tab/>
        <w:t>אני לא יודע מה במעטפה</w:t>
      </w:r>
    </w:p>
    <w:p w:rsidR="00805A7D" w:rsidRDefault="00805A7D" w:rsidP="00805A7D">
      <w:pPr>
        <w:spacing w:line="360" w:lineRule="auto"/>
        <w:ind w:left="720"/>
        <w:jc w:val="both"/>
        <w:rPr>
          <w:rFonts w:ascii="David" w:hAnsi="David"/>
          <w:b/>
          <w:bCs/>
          <w:rtl/>
        </w:rPr>
      </w:pPr>
      <w:r>
        <w:rPr>
          <w:rFonts w:ascii="David" w:hAnsi="David"/>
          <w:b/>
          <w:bCs/>
          <w:rtl/>
        </w:rPr>
        <w:t>ש.</w:t>
      </w:r>
      <w:r>
        <w:rPr>
          <w:rFonts w:ascii="David" w:hAnsi="David"/>
          <w:b/>
          <w:bCs/>
          <w:rtl/>
        </w:rPr>
        <w:tab/>
        <w:t>והפעם השנייה תכולת המעטפה הייתה פסק דין או כתב תביעה?</w:t>
      </w:r>
    </w:p>
    <w:p w:rsidR="00805A7D" w:rsidRDefault="00805A7D" w:rsidP="00805A7D">
      <w:pPr>
        <w:spacing w:line="360" w:lineRule="auto"/>
        <w:ind w:left="720"/>
        <w:jc w:val="both"/>
        <w:rPr>
          <w:rFonts w:ascii="David" w:hAnsi="David"/>
          <w:b/>
          <w:bCs/>
          <w:rtl/>
        </w:rPr>
      </w:pPr>
      <w:r>
        <w:rPr>
          <w:rFonts w:ascii="David" w:hAnsi="David"/>
          <w:b/>
          <w:bCs/>
          <w:rtl/>
        </w:rPr>
        <w:t>ת.</w:t>
      </w:r>
      <w:r>
        <w:rPr>
          <w:rFonts w:ascii="David" w:hAnsi="David"/>
          <w:b/>
          <w:bCs/>
          <w:rtl/>
        </w:rPr>
        <w:tab/>
        <w:t>לא יודע מה במעטפה.</w:t>
      </w:r>
    </w:p>
    <w:p w:rsidR="00805A7D" w:rsidRDefault="00805A7D" w:rsidP="00805A7D">
      <w:pPr>
        <w:spacing w:line="360" w:lineRule="auto"/>
        <w:ind w:left="720"/>
        <w:jc w:val="both"/>
        <w:rPr>
          <w:rFonts w:ascii="David" w:hAnsi="David"/>
          <w:b/>
          <w:bCs/>
          <w:rtl/>
        </w:rPr>
      </w:pPr>
      <w:r>
        <w:rPr>
          <w:rFonts w:ascii="David" w:hAnsi="David"/>
          <w:b/>
          <w:bCs/>
          <w:rtl/>
        </w:rPr>
        <w:t>ש.</w:t>
      </w:r>
      <w:r>
        <w:rPr>
          <w:rFonts w:ascii="David" w:hAnsi="David"/>
          <w:b/>
          <w:bCs/>
          <w:rtl/>
        </w:rPr>
        <w:tab/>
        <w:t>אתה לא יודע מה מסרת?</w:t>
      </w:r>
    </w:p>
    <w:p w:rsidR="00805A7D" w:rsidRDefault="00805A7D" w:rsidP="00805A7D">
      <w:pPr>
        <w:spacing w:line="360" w:lineRule="auto"/>
        <w:ind w:left="720"/>
        <w:jc w:val="both"/>
        <w:rPr>
          <w:rFonts w:ascii="David" w:hAnsi="David"/>
          <w:b/>
          <w:bCs/>
          <w:rtl/>
        </w:rPr>
      </w:pPr>
      <w:r>
        <w:rPr>
          <w:rFonts w:ascii="David" w:hAnsi="David"/>
          <w:b/>
          <w:bCs/>
          <w:rtl/>
        </w:rPr>
        <w:t>ת.</w:t>
      </w:r>
      <w:r>
        <w:rPr>
          <w:rFonts w:ascii="David" w:hAnsi="David"/>
          <w:b/>
          <w:bCs/>
          <w:rtl/>
        </w:rPr>
        <w:tab/>
        <w:t>בדיוק</w:t>
      </w:r>
    </w:p>
    <w:p w:rsidR="00805A7D" w:rsidRDefault="00805A7D" w:rsidP="00805A7D">
      <w:pPr>
        <w:spacing w:line="360" w:lineRule="auto"/>
        <w:ind w:left="720"/>
        <w:jc w:val="both"/>
        <w:rPr>
          <w:rFonts w:ascii="David" w:hAnsi="David"/>
          <w:b/>
          <w:bCs/>
          <w:rtl/>
        </w:rPr>
      </w:pPr>
      <w:r>
        <w:rPr>
          <w:rFonts w:ascii="David" w:hAnsi="David"/>
          <w:b/>
          <w:bCs/>
          <w:rtl/>
        </w:rPr>
        <w:t>ש.</w:t>
      </w:r>
      <w:r>
        <w:rPr>
          <w:rFonts w:ascii="David" w:hAnsi="David"/>
          <w:b/>
          <w:bCs/>
          <w:rtl/>
        </w:rPr>
        <w:tab/>
        <w:t>אז איך אתה מסביר שמסרת את כתב התביעה אם אתה לא יודע מה יש במעטפה</w:t>
      </w:r>
    </w:p>
    <w:p w:rsidR="00805A7D" w:rsidRDefault="00805A7D" w:rsidP="00805A7D">
      <w:pPr>
        <w:spacing w:line="360" w:lineRule="auto"/>
        <w:ind w:left="720"/>
        <w:jc w:val="both"/>
        <w:rPr>
          <w:rFonts w:ascii="David" w:hAnsi="David"/>
          <w:b/>
          <w:bCs/>
          <w:rtl/>
        </w:rPr>
      </w:pPr>
      <w:r>
        <w:rPr>
          <w:rFonts w:ascii="David" w:hAnsi="David"/>
          <w:b/>
          <w:bCs/>
          <w:rtl/>
        </w:rPr>
        <w:t>ת.</w:t>
      </w:r>
      <w:r>
        <w:rPr>
          <w:rFonts w:ascii="David" w:hAnsi="David"/>
          <w:b/>
          <w:bCs/>
          <w:rtl/>
        </w:rPr>
        <w:tab/>
        <w:t>זה מה שהבנתי מהמשרד עצמו אחר כך. על המעטפה לא היה רשום כלום.</w:t>
      </w:r>
    </w:p>
    <w:p w:rsidR="00805A7D" w:rsidRDefault="00805A7D" w:rsidP="00805A7D">
      <w:pPr>
        <w:spacing w:line="360" w:lineRule="auto"/>
        <w:ind w:left="1440" w:hanging="720"/>
        <w:jc w:val="both"/>
        <w:rPr>
          <w:rFonts w:ascii="David" w:hAnsi="David"/>
          <w:b/>
          <w:bCs/>
          <w:rtl/>
        </w:rPr>
      </w:pPr>
      <w:r>
        <w:rPr>
          <w:rFonts w:ascii="David" w:hAnsi="David"/>
          <w:b/>
          <w:bCs/>
          <w:rtl/>
        </w:rPr>
        <w:t>ש.</w:t>
      </w:r>
      <w:r>
        <w:rPr>
          <w:rFonts w:ascii="David" w:hAnsi="David"/>
          <w:b/>
          <w:bCs/>
          <w:rtl/>
        </w:rPr>
        <w:tab/>
        <w:t>אם אגיד לך שהפעם השנייה של המסירה נעשתה על ידי עו"ד ממשרדו של עו"ד מיכאלי, הבן שלו, שהוא בא והיה וביצע את ניסיון המסירה השנייה מה תגיד?</w:t>
      </w:r>
    </w:p>
    <w:p w:rsidR="00805A7D" w:rsidRDefault="00805A7D" w:rsidP="00805A7D">
      <w:pPr>
        <w:spacing w:line="360" w:lineRule="auto"/>
        <w:ind w:left="720"/>
        <w:jc w:val="both"/>
        <w:rPr>
          <w:rFonts w:ascii="David" w:hAnsi="David"/>
          <w:b/>
          <w:bCs/>
          <w:rtl/>
        </w:rPr>
      </w:pPr>
      <w:r>
        <w:rPr>
          <w:rFonts w:ascii="David" w:hAnsi="David"/>
          <w:b/>
          <w:bCs/>
          <w:rtl/>
        </w:rPr>
        <w:t>ת.</w:t>
      </w:r>
      <w:r>
        <w:rPr>
          <w:rFonts w:ascii="David" w:hAnsi="David"/>
          <w:b/>
          <w:bCs/>
          <w:rtl/>
        </w:rPr>
        <w:tab/>
        <w:t>לא ממה שאני יודע. לא יודע מה שקורה אצלם במשרד.</w:t>
      </w:r>
    </w:p>
    <w:p w:rsidR="00805A7D" w:rsidRDefault="00805A7D" w:rsidP="00805A7D">
      <w:pPr>
        <w:spacing w:line="360" w:lineRule="auto"/>
        <w:ind w:left="720" w:hanging="720"/>
        <w:jc w:val="both"/>
        <w:rPr>
          <w:rFonts w:ascii="David" w:hAnsi="David"/>
          <w:rtl/>
        </w:rPr>
      </w:pPr>
      <w:r>
        <w:rPr>
          <w:rFonts w:ascii="David" w:hAnsi="David"/>
          <w:rtl/>
        </w:rPr>
        <w:lastRenderedPageBreak/>
        <w:tab/>
      </w:r>
      <w:r>
        <w:rPr>
          <w:rFonts w:ascii="David" w:hAnsi="David"/>
          <w:rtl/>
        </w:rPr>
        <w:tab/>
        <w:t xml:space="preserve">[...] " </w:t>
      </w:r>
    </w:p>
    <w:p w:rsidR="00805A7D" w:rsidRDefault="00805A7D" w:rsidP="00805A7D">
      <w:pPr>
        <w:spacing w:line="360" w:lineRule="auto"/>
        <w:ind w:left="720" w:hanging="720"/>
        <w:jc w:val="both"/>
        <w:rPr>
          <w:rFonts w:ascii="David" w:hAnsi="David"/>
          <w:rtl/>
        </w:rPr>
      </w:pPr>
    </w:p>
    <w:p w:rsidR="00805A7D" w:rsidRDefault="00805A7D" w:rsidP="00805A7D">
      <w:pPr>
        <w:spacing w:line="360" w:lineRule="auto"/>
        <w:ind w:left="720"/>
        <w:jc w:val="both"/>
        <w:rPr>
          <w:rFonts w:ascii="David" w:hAnsi="David"/>
          <w:rtl/>
        </w:rPr>
      </w:pPr>
      <w:r>
        <w:rPr>
          <w:rFonts w:ascii="David" w:hAnsi="David"/>
          <w:rtl/>
        </w:rPr>
        <w:t>את עדותו של השליח קטעה הנתבעת שקראה "</w:t>
      </w:r>
      <w:r>
        <w:rPr>
          <w:rFonts w:ascii="David" w:hAnsi="David"/>
          <w:b/>
          <w:bCs/>
          <w:rtl/>
        </w:rPr>
        <w:t>הבן של עו"ד מיכאלי</w:t>
      </w:r>
      <w:r>
        <w:rPr>
          <w:rFonts w:ascii="David" w:hAnsi="David"/>
          <w:rtl/>
        </w:rPr>
        <w:t xml:space="preserve"> (ב"כ התובע-מ.ל) </w:t>
      </w:r>
      <w:r>
        <w:rPr>
          <w:rFonts w:ascii="David" w:hAnsi="David"/>
          <w:b/>
          <w:bCs/>
          <w:rtl/>
        </w:rPr>
        <w:t>היה אצלי. גם הוא לא רצה להזדהות.</w:t>
      </w:r>
      <w:r>
        <w:rPr>
          <w:rFonts w:ascii="David" w:hAnsi="David"/>
          <w:rtl/>
        </w:rPr>
        <w:t>"</w:t>
      </w:r>
    </w:p>
    <w:p w:rsidR="00805A7D" w:rsidRDefault="00805A7D" w:rsidP="00805A7D">
      <w:pPr>
        <w:spacing w:line="360" w:lineRule="auto"/>
        <w:ind w:left="720"/>
        <w:jc w:val="both"/>
        <w:rPr>
          <w:rFonts w:ascii="David" w:hAnsi="David"/>
          <w:rtl/>
        </w:rPr>
      </w:pPr>
    </w:p>
    <w:p w:rsidR="00805A7D" w:rsidRDefault="00805A7D" w:rsidP="00805A7D">
      <w:pPr>
        <w:spacing w:line="360" w:lineRule="auto"/>
        <w:ind w:left="1440" w:hanging="720"/>
        <w:jc w:val="both"/>
        <w:rPr>
          <w:rFonts w:ascii="David" w:hAnsi="David"/>
          <w:b/>
          <w:bCs/>
          <w:rtl/>
        </w:rPr>
      </w:pPr>
      <w:r>
        <w:rPr>
          <w:rFonts w:ascii="David" w:hAnsi="David"/>
          <w:rtl/>
        </w:rPr>
        <w:t>"</w:t>
      </w:r>
      <w:r>
        <w:rPr>
          <w:rFonts w:ascii="David" w:hAnsi="David"/>
          <w:b/>
          <w:bCs/>
          <w:rtl/>
        </w:rPr>
        <w:t>ש.</w:t>
      </w:r>
      <w:r>
        <w:rPr>
          <w:rFonts w:ascii="David" w:hAnsi="David"/>
          <w:b/>
          <w:bCs/>
          <w:rtl/>
        </w:rPr>
        <w:tab/>
        <w:t>אני מציג אישור מסירה של פסק דין מיום 14.2.24 אישור המסירה הוא מיום 15.2.23. הצגתי לך שתי חתימות האם החתימות הן שלך בשני מסמכים אלו?</w:t>
      </w:r>
    </w:p>
    <w:p w:rsidR="00805A7D" w:rsidRDefault="00805A7D" w:rsidP="00805A7D">
      <w:pPr>
        <w:spacing w:line="360" w:lineRule="auto"/>
        <w:ind w:left="720"/>
        <w:jc w:val="both"/>
        <w:rPr>
          <w:rFonts w:ascii="David" w:hAnsi="David"/>
          <w:b/>
          <w:bCs/>
          <w:rtl/>
        </w:rPr>
      </w:pPr>
      <w:r>
        <w:rPr>
          <w:rFonts w:ascii="David" w:hAnsi="David"/>
          <w:b/>
          <w:bCs/>
          <w:rtl/>
        </w:rPr>
        <w:t>ת.</w:t>
      </w:r>
      <w:r>
        <w:rPr>
          <w:rFonts w:ascii="David" w:hAnsi="David"/>
          <w:b/>
          <w:bCs/>
          <w:rtl/>
        </w:rPr>
        <w:tab/>
        <w:t>כן.</w:t>
      </w:r>
    </w:p>
    <w:p w:rsidR="00805A7D" w:rsidRDefault="00805A7D" w:rsidP="00805A7D">
      <w:pPr>
        <w:spacing w:line="360" w:lineRule="auto"/>
        <w:ind w:left="720"/>
        <w:jc w:val="both"/>
        <w:rPr>
          <w:rFonts w:ascii="David" w:hAnsi="David"/>
          <w:b/>
          <w:bCs/>
          <w:rtl/>
        </w:rPr>
      </w:pPr>
      <w:r>
        <w:rPr>
          <w:rFonts w:ascii="David" w:hAnsi="David"/>
          <w:b/>
          <w:bCs/>
          <w:rtl/>
        </w:rPr>
        <w:t>ש.</w:t>
      </w:r>
      <w:r>
        <w:rPr>
          <w:rFonts w:ascii="David" w:hAnsi="David"/>
          <w:b/>
          <w:bCs/>
          <w:rtl/>
        </w:rPr>
        <w:tab/>
        <w:t xml:space="preserve">מה כתוב באישור מסירה מיום 15.2.23? </w:t>
      </w:r>
    </w:p>
    <w:p w:rsidR="00805A7D" w:rsidRDefault="00805A7D" w:rsidP="00805A7D">
      <w:pPr>
        <w:spacing w:line="360" w:lineRule="auto"/>
        <w:ind w:left="720" w:firstLine="720"/>
        <w:jc w:val="both"/>
        <w:rPr>
          <w:rFonts w:ascii="David" w:hAnsi="David"/>
          <w:b/>
          <w:bCs/>
          <w:rtl/>
        </w:rPr>
      </w:pPr>
      <w:r>
        <w:rPr>
          <w:rFonts w:ascii="David" w:hAnsi="David"/>
          <w:b/>
          <w:bCs/>
          <w:rtl/>
        </w:rPr>
        <w:t>(הערת בית המשפט: הוא מכוון לאישור המוסר שהוגש ביום 9.3.2023)</w:t>
      </w:r>
    </w:p>
    <w:p w:rsidR="00805A7D" w:rsidRDefault="00805A7D" w:rsidP="00805A7D">
      <w:pPr>
        <w:spacing w:line="360" w:lineRule="auto"/>
        <w:ind w:left="720"/>
        <w:jc w:val="both"/>
        <w:rPr>
          <w:rFonts w:ascii="David" w:hAnsi="David"/>
          <w:b/>
          <w:bCs/>
          <w:rtl/>
        </w:rPr>
      </w:pPr>
      <w:r>
        <w:rPr>
          <w:rFonts w:ascii="David" w:hAnsi="David"/>
          <w:b/>
          <w:bCs/>
          <w:rtl/>
        </w:rPr>
        <w:t>ת.</w:t>
      </w:r>
      <w:r>
        <w:rPr>
          <w:rFonts w:ascii="David" w:hAnsi="David"/>
          <w:b/>
          <w:bCs/>
          <w:rtl/>
        </w:rPr>
        <w:tab/>
        <w:t>לפי מה שרשום שכן.</w:t>
      </w:r>
    </w:p>
    <w:p w:rsidR="00805A7D" w:rsidRDefault="00805A7D" w:rsidP="00805A7D">
      <w:pPr>
        <w:spacing w:line="360" w:lineRule="auto"/>
        <w:ind w:left="1440" w:hanging="720"/>
        <w:jc w:val="both"/>
        <w:rPr>
          <w:rFonts w:ascii="David" w:hAnsi="David"/>
          <w:b/>
          <w:bCs/>
          <w:rtl/>
        </w:rPr>
      </w:pPr>
      <w:r>
        <w:rPr>
          <w:rFonts w:ascii="David" w:hAnsi="David"/>
          <w:b/>
          <w:bCs/>
          <w:rtl/>
        </w:rPr>
        <w:t>ש.</w:t>
      </w:r>
      <w:r>
        <w:rPr>
          <w:rFonts w:ascii="David" w:hAnsi="David"/>
          <w:b/>
          <w:bCs/>
          <w:rtl/>
        </w:rPr>
        <w:tab/>
        <w:t>אז יש לנו תצהיר רק לגבי המסירה שלכאורה בוצעה ב-25.12.2022 ובזה אנחנו הסכמנו שלא פגשת בה ולא מסרת ונאלצת לבצע מסירה חוזרת למען הסר ספק זה נכון?</w:t>
      </w:r>
    </w:p>
    <w:p w:rsidR="00805A7D" w:rsidRDefault="00805A7D" w:rsidP="00805A7D">
      <w:pPr>
        <w:spacing w:line="360" w:lineRule="auto"/>
        <w:ind w:left="720"/>
        <w:jc w:val="both"/>
        <w:rPr>
          <w:rFonts w:ascii="David" w:hAnsi="David"/>
          <w:b/>
          <w:bCs/>
          <w:rtl/>
        </w:rPr>
      </w:pPr>
      <w:r>
        <w:rPr>
          <w:rFonts w:ascii="David" w:hAnsi="David"/>
          <w:b/>
          <w:bCs/>
          <w:rtl/>
        </w:rPr>
        <w:t>ת.</w:t>
      </w:r>
      <w:r>
        <w:rPr>
          <w:rFonts w:ascii="David" w:hAnsi="David"/>
          <w:b/>
          <w:bCs/>
          <w:rtl/>
        </w:rPr>
        <w:tab/>
        <w:t>אם המשרד שלח פעם שנייה אז כנראה שכן.</w:t>
      </w:r>
    </w:p>
    <w:p w:rsidR="00805A7D" w:rsidRDefault="00805A7D" w:rsidP="00805A7D">
      <w:pPr>
        <w:spacing w:line="360" w:lineRule="auto"/>
        <w:ind w:left="1440" w:hanging="720"/>
        <w:jc w:val="both"/>
        <w:rPr>
          <w:rFonts w:ascii="David" w:hAnsi="David"/>
          <w:b/>
          <w:bCs/>
          <w:rtl/>
        </w:rPr>
      </w:pPr>
      <w:r>
        <w:rPr>
          <w:rFonts w:ascii="David" w:hAnsi="David"/>
          <w:b/>
          <w:bCs/>
          <w:rtl/>
        </w:rPr>
        <w:t>ש.</w:t>
      </w:r>
      <w:r>
        <w:rPr>
          <w:rFonts w:ascii="David" w:hAnsi="David"/>
          <w:b/>
          <w:bCs/>
          <w:rtl/>
        </w:rPr>
        <w:tab/>
        <w:t xml:space="preserve">אני אומר לך שיש לך רק תצהיר אחד שמתייחס למסירת כתב התביעה עצמה ואין לך תצהיר שמתייחס לניסיון השני ואתה גם לא ביצעת מסירה. וגם לא הנחת מעטפה. </w:t>
      </w:r>
    </w:p>
    <w:p w:rsidR="00805A7D" w:rsidRDefault="00805A7D" w:rsidP="00805A7D">
      <w:pPr>
        <w:spacing w:line="360" w:lineRule="auto"/>
        <w:ind w:left="1440" w:hanging="720"/>
        <w:jc w:val="both"/>
        <w:rPr>
          <w:rFonts w:ascii="David" w:hAnsi="David"/>
          <w:rtl/>
        </w:rPr>
      </w:pPr>
      <w:r>
        <w:rPr>
          <w:rFonts w:ascii="David" w:hAnsi="David"/>
          <w:b/>
          <w:bCs/>
          <w:rtl/>
        </w:rPr>
        <w:t>ת.</w:t>
      </w:r>
      <w:r>
        <w:rPr>
          <w:rFonts w:ascii="David" w:hAnsi="David"/>
          <w:b/>
          <w:bCs/>
          <w:rtl/>
        </w:rPr>
        <w:tab/>
        <w:t>לא הבנתי את השאלה. קבעת עובדה. שמה שאני זוכר, הגשתי את המעטפה פעם שנייה כמו שצריך ופעם ראשונה היה סירוב</w:t>
      </w:r>
      <w:r>
        <w:rPr>
          <w:rFonts w:ascii="David" w:hAnsi="David"/>
          <w:rtl/>
        </w:rPr>
        <w:t>."</w:t>
      </w:r>
    </w:p>
    <w:p w:rsidR="00805A7D" w:rsidRDefault="00805A7D" w:rsidP="00805A7D">
      <w:pPr>
        <w:spacing w:line="360" w:lineRule="auto"/>
        <w:ind w:left="1440" w:hanging="720"/>
        <w:jc w:val="both"/>
        <w:rPr>
          <w:rFonts w:ascii="David" w:hAnsi="David"/>
          <w:rtl/>
        </w:rPr>
      </w:pPr>
    </w:p>
    <w:p w:rsidR="00805A7D" w:rsidRDefault="00805A7D" w:rsidP="00805A7D">
      <w:pPr>
        <w:spacing w:line="360" w:lineRule="auto"/>
        <w:ind w:left="720" w:hanging="720"/>
        <w:jc w:val="both"/>
        <w:rPr>
          <w:rFonts w:ascii="David" w:hAnsi="David"/>
          <w:rtl/>
        </w:rPr>
      </w:pPr>
      <w:r>
        <w:rPr>
          <w:rFonts w:ascii="David" w:hAnsi="David"/>
          <w:rtl/>
        </w:rPr>
        <w:t>14.</w:t>
      </w:r>
      <w:r>
        <w:rPr>
          <w:rFonts w:ascii="David" w:hAnsi="David"/>
          <w:rtl/>
        </w:rPr>
        <w:tab/>
        <w:t>בבוקרו של יום הדיון השני הוגש לתיק על ידי הנתבעים קובץ הכולל מסמכים וביניהם תמלול של שיחות מוקלטות בין הנתבעים לתובע. המסמך כונה "</w:t>
      </w:r>
      <w:r>
        <w:rPr>
          <w:rFonts w:ascii="David" w:hAnsi="David"/>
          <w:u w:val="single"/>
          <w:rtl/>
        </w:rPr>
        <w:t>חוות דעת מומחה פקודת הראיות (נוסח חדש) תשל"א -1971</w:t>
      </w:r>
      <w:r>
        <w:rPr>
          <w:rFonts w:ascii="David" w:hAnsi="David"/>
          <w:rtl/>
        </w:rPr>
        <w:t>". בין המסמכים שצורפו למסמך זה צורף תמלול שיחה שנערכה, כנטען, בין השליח לנתבעת 1 ובזו הלשון:</w:t>
      </w:r>
    </w:p>
    <w:p w:rsidR="00805A7D" w:rsidRDefault="00805A7D" w:rsidP="00805A7D">
      <w:pPr>
        <w:spacing w:line="360" w:lineRule="auto"/>
        <w:ind w:left="720" w:hanging="720"/>
        <w:jc w:val="both"/>
        <w:rPr>
          <w:rFonts w:ascii="David" w:hAnsi="David"/>
          <w:rtl/>
        </w:rPr>
      </w:pPr>
    </w:p>
    <w:p w:rsidR="00805A7D" w:rsidRDefault="00805A7D" w:rsidP="00805A7D">
      <w:pPr>
        <w:spacing w:line="360" w:lineRule="auto"/>
        <w:ind w:left="135" w:firstLine="585"/>
        <w:jc w:val="both"/>
        <w:rPr>
          <w:rFonts w:ascii="David" w:hAnsi="David"/>
          <w:b/>
          <w:bCs/>
          <w:rtl/>
        </w:rPr>
      </w:pPr>
      <w:r>
        <w:rPr>
          <w:rFonts w:ascii="David" w:hAnsi="David"/>
          <w:rtl/>
        </w:rPr>
        <w:t>"</w:t>
      </w:r>
      <w:r>
        <w:rPr>
          <w:rFonts w:ascii="David" w:hAnsi="David"/>
          <w:b/>
          <w:bCs/>
          <w:rtl/>
        </w:rPr>
        <w:t>ניקו:</w:t>
      </w:r>
      <w:r>
        <w:rPr>
          <w:rFonts w:ascii="David" w:hAnsi="David"/>
          <w:b/>
          <w:bCs/>
          <w:rtl/>
        </w:rPr>
        <w:tab/>
        <w:t>שלום.</w:t>
      </w:r>
    </w:p>
    <w:p w:rsidR="00805A7D" w:rsidRDefault="00B43414" w:rsidP="00805A7D">
      <w:pPr>
        <w:spacing w:line="360" w:lineRule="auto"/>
        <w:ind w:left="135" w:firstLine="585"/>
        <w:jc w:val="both"/>
        <w:rPr>
          <w:rFonts w:ascii="David" w:hAnsi="David"/>
          <w:b/>
          <w:bCs/>
          <w:rtl/>
        </w:rPr>
      </w:pPr>
      <w:r>
        <w:rPr>
          <w:rFonts w:ascii="David" w:hAnsi="David" w:hint="cs"/>
          <w:b/>
          <w:bCs/>
        </w:rPr>
        <w:t>XX</w:t>
      </w:r>
      <w:r w:rsidR="00805A7D">
        <w:rPr>
          <w:rFonts w:ascii="David" w:hAnsi="David"/>
          <w:b/>
          <w:bCs/>
          <w:rtl/>
        </w:rPr>
        <w:t>:</w:t>
      </w:r>
      <w:r w:rsidR="00805A7D">
        <w:rPr>
          <w:rFonts w:ascii="David" w:hAnsi="David"/>
          <w:b/>
          <w:bCs/>
          <w:rtl/>
        </w:rPr>
        <w:tab/>
        <w:t>שלום.</w:t>
      </w:r>
    </w:p>
    <w:p w:rsidR="00805A7D" w:rsidRDefault="00805A7D" w:rsidP="00805A7D">
      <w:pPr>
        <w:spacing w:line="360" w:lineRule="auto"/>
        <w:ind w:left="135" w:firstLine="585"/>
        <w:jc w:val="both"/>
        <w:rPr>
          <w:rFonts w:ascii="David" w:hAnsi="David"/>
          <w:b/>
          <w:bCs/>
          <w:rtl/>
        </w:rPr>
      </w:pPr>
      <w:r>
        <w:rPr>
          <w:rFonts w:ascii="David" w:hAnsi="David"/>
          <w:b/>
          <w:bCs/>
          <w:rtl/>
        </w:rPr>
        <w:t>ניקו:</w:t>
      </w:r>
      <w:r>
        <w:rPr>
          <w:rFonts w:ascii="David" w:hAnsi="David"/>
          <w:b/>
          <w:bCs/>
          <w:rtl/>
        </w:rPr>
        <w:tab/>
        <w:t>מדבר ניקו השליח, יש לי איזה משהו להעביר לך. איפה אני יכול למצוא אותך?</w:t>
      </w:r>
    </w:p>
    <w:p w:rsidR="00805A7D" w:rsidRDefault="00B43414" w:rsidP="00805A7D">
      <w:pPr>
        <w:spacing w:line="360" w:lineRule="auto"/>
        <w:ind w:left="135" w:firstLine="585"/>
        <w:jc w:val="both"/>
        <w:rPr>
          <w:rFonts w:ascii="David" w:hAnsi="David"/>
          <w:b/>
          <w:bCs/>
          <w:rtl/>
        </w:rPr>
      </w:pPr>
      <w:r>
        <w:rPr>
          <w:rFonts w:ascii="David" w:hAnsi="David" w:hint="cs"/>
          <w:b/>
          <w:bCs/>
        </w:rPr>
        <w:t>XX</w:t>
      </w:r>
      <w:r w:rsidR="00805A7D">
        <w:rPr>
          <w:rFonts w:ascii="David" w:hAnsi="David"/>
          <w:b/>
          <w:bCs/>
          <w:rtl/>
        </w:rPr>
        <w:t>:</w:t>
      </w:r>
      <w:r w:rsidR="00805A7D">
        <w:rPr>
          <w:rFonts w:ascii="David" w:hAnsi="David"/>
          <w:b/>
          <w:bCs/>
          <w:rtl/>
        </w:rPr>
        <w:tab/>
        <w:t>שליח מאיפה?</w:t>
      </w:r>
    </w:p>
    <w:p w:rsidR="00805A7D" w:rsidRDefault="00805A7D" w:rsidP="00805A7D">
      <w:pPr>
        <w:spacing w:line="360" w:lineRule="auto"/>
        <w:ind w:left="135" w:firstLine="585"/>
        <w:jc w:val="both"/>
        <w:rPr>
          <w:rFonts w:ascii="David" w:hAnsi="David"/>
          <w:b/>
          <w:bCs/>
          <w:rtl/>
        </w:rPr>
      </w:pPr>
      <w:r>
        <w:rPr>
          <w:rFonts w:ascii="David" w:hAnsi="David"/>
          <w:b/>
          <w:bCs/>
          <w:rtl/>
        </w:rPr>
        <w:t>ניקו:</w:t>
      </w:r>
      <w:r>
        <w:rPr>
          <w:rFonts w:ascii="David" w:hAnsi="David"/>
          <w:b/>
          <w:bCs/>
          <w:rtl/>
        </w:rPr>
        <w:tab/>
        <w:t>חברת שליחויות, יש לי פשוט מעטפה להעביר לך. אני לא יודע בדיוק. יותר מידי</w:t>
      </w:r>
    </w:p>
    <w:p w:rsidR="00805A7D" w:rsidRDefault="00B43414" w:rsidP="00B43414">
      <w:pPr>
        <w:spacing w:line="360" w:lineRule="auto"/>
        <w:ind w:left="135" w:firstLine="585"/>
        <w:jc w:val="both"/>
        <w:rPr>
          <w:rFonts w:ascii="David" w:hAnsi="David"/>
          <w:b/>
          <w:bCs/>
          <w:rtl/>
        </w:rPr>
      </w:pPr>
      <w:r>
        <w:rPr>
          <w:rFonts w:ascii="David" w:hAnsi="David" w:hint="cs"/>
          <w:b/>
          <w:bCs/>
        </w:rPr>
        <w:t>XX</w:t>
      </w:r>
      <w:r w:rsidR="00805A7D">
        <w:rPr>
          <w:rFonts w:ascii="David" w:hAnsi="David"/>
          <w:b/>
          <w:bCs/>
          <w:rtl/>
        </w:rPr>
        <w:t>:</w:t>
      </w:r>
      <w:r w:rsidR="00805A7D">
        <w:rPr>
          <w:rFonts w:ascii="David" w:hAnsi="David"/>
          <w:b/>
          <w:bCs/>
          <w:rtl/>
        </w:rPr>
        <w:tab/>
        <w:t xml:space="preserve">אז אהה.. </w:t>
      </w:r>
      <w:r>
        <w:rPr>
          <w:rFonts w:ascii="David" w:hAnsi="David" w:hint="cs"/>
          <w:b/>
          <w:bCs/>
        </w:rPr>
        <w:t>XX</w:t>
      </w:r>
      <w:r w:rsidR="00805A7D">
        <w:rPr>
          <w:rFonts w:ascii="David" w:hAnsi="David"/>
          <w:b/>
          <w:bCs/>
          <w:rtl/>
        </w:rPr>
        <w:t xml:space="preserve">, אתה יודע איפה זה בית ספר </w:t>
      </w:r>
      <w:r>
        <w:rPr>
          <w:rFonts w:ascii="David" w:hAnsi="David" w:hint="cs"/>
          <w:b/>
          <w:bCs/>
        </w:rPr>
        <w:t>XX</w:t>
      </w:r>
      <w:r w:rsidR="00805A7D">
        <w:rPr>
          <w:rFonts w:ascii="David" w:hAnsi="David"/>
          <w:b/>
          <w:bCs/>
          <w:rtl/>
        </w:rPr>
        <w:t>?</w:t>
      </w:r>
    </w:p>
    <w:p w:rsidR="00805A7D" w:rsidRDefault="00805A7D" w:rsidP="00805A7D">
      <w:pPr>
        <w:spacing w:line="360" w:lineRule="auto"/>
        <w:ind w:left="135" w:firstLine="585"/>
        <w:jc w:val="both"/>
        <w:rPr>
          <w:rFonts w:ascii="David" w:hAnsi="David"/>
          <w:b/>
          <w:bCs/>
          <w:rtl/>
        </w:rPr>
      </w:pPr>
      <w:r>
        <w:rPr>
          <w:rFonts w:ascii="David" w:hAnsi="David"/>
          <w:b/>
          <w:bCs/>
          <w:rtl/>
        </w:rPr>
        <w:t>ניקו:</w:t>
      </w:r>
      <w:r>
        <w:rPr>
          <w:rFonts w:ascii="David" w:hAnsi="David"/>
          <w:b/>
          <w:bCs/>
          <w:rtl/>
        </w:rPr>
        <w:tab/>
        <w:t>אהה.. כן.</w:t>
      </w:r>
    </w:p>
    <w:p w:rsidR="00805A7D" w:rsidRDefault="00B43414" w:rsidP="00805A7D">
      <w:pPr>
        <w:spacing w:line="360" w:lineRule="auto"/>
        <w:ind w:left="135" w:firstLine="585"/>
        <w:jc w:val="both"/>
        <w:rPr>
          <w:rFonts w:ascii="David" w:hAnsi="David"/>
          <w:b/>
          <w:bCs/>
          <w:rtl/>
        </w:rPr>
      </w:pPr>
      <w:r>
        <w:rPr>
          <w:rFonts w:ascii="David" w:hAnsi="David" w:hint="cs"/>
          <w:b/>
          <w:bCs/>
        </w:rPr>
        <w:t>XX</w:t>
      </w:r>
      <w:r w:rsidR="00805A7D">
        <w:rPr>
          <w:rFonts w:ascii="David" w:hAnsi="David"/>
          <w:b/>
          <w:bCs/>
          <w:rtl/>
        </w:rPr>
        <w:t>:</w:t>
      </w:r>
      <w:r w:rsidR="00805A7D">
        <w:rPr>
          <w:rFonts w:ascii="David" w:hAnsi="David"/>
          <w:b/>
          <w:bCs/>
          <w:rtl/>
        </w:rPr>
        <w:tab/>
        <w:t>מלמעלה אבל, לא למטה</w:t>
      </w:r>
    </w:p>
    <w:p w:rsidR="00805A7D" w:rsidRDefault="00805A7D" w:rsidP="00B43414">
      <w:pPr>
        <w:spacing w:line="360" w:lineRule="auto"/>
        <w:ind w:left="135" w:firstLine="585"/>
        <w:jc w:val="both"/>
        <w:rPr>
          <w:rFonts w:ascii="David" w:hAnsi="David"/>
          <w:b/>
          <w:bCs/>
          <w:rtl/>
        </w:rPr>
      </w:pPr>
      <w:r>
        <w:rPr>
          <w:rFonts w:ascii="David" w:hAnsi="David"/>
          <w:b/>
          <w:bCs/>
          <w:rtl/>
        </w:rPr>
        <w:t>ניקו:</w:t>
      </w:r>
      <w:r>
        <w:rPr>
          <w:rFonts w:ascii="David" w:hAnsi="David"/>
          <w:b/>
          <w:bCs/>
          <w:rtl/>
        </w:rPr>
        <w:tab/>
        <w:t>רחוב...</w:t>
      </w:r>
      <w:r w:rsidR="00B43414">
        <w:rPr>
          <w:rFonts w:ascii="David" w:hAnsi="David" w:hint="cs"/>
          <w:b/>
          <w:bCs/>
        </w:rPr>
        <w:t>XX</w:t>
      </w:r>
      <w:r>
        <w:rPr>
          <w:rFonts w:ascii="David" w:hAnsi="David"/>
          <w:b/>
          <w:bCs/>
          <w:rtl/>
        </w:rPr>
        <w:t>?</w:t>
      </w:r>
    </w:p>
    <w:p w:rsidR="00805A7D" w:rsidRDefault="00B43414" w:rsidP="00B43414">
      <w:pPr>
        <w:spacing w:line="360" w:lineRule="auto"/>
        <w:ind w:left="135" w:firstLine="585"/>
        <w:jc w:val="both"/>
        <w:rPr>
          <w:rFonts w:ascii="David" w:hAnsi="David"/>
          <w:b/>
          <w:bCs/>
          <w:rtl/>
        </w:rPr>
      </w:pPr>
      <w:r>
        <w:rPr>
          <w:rFonts w:ascii="David" w:hAnsi="David" w:hint="cs"/>
          <w:b/>
          <w:bCs/>
        </w:rPr>
        <w:t>XX</w:t>
      </w:r>
      <w:r w:rsidR="00805A7D">
        <w:rPr>
          <w:rFonts w:ascii="David" w:hAnsi="David"/>
          <w:b/>
          <w:bCs/>
          <w:rtl/>
        </w:rPr>
        <w:t>:</w:t>
      </w:r>
      <w:r w:rsidR="00805A7D">
        <w:rPr>
          <w:rFonts w:ascii="David" w:hAnsi="David"/>
          <w:b/>
          <w:bCs/>
          <w:rtl/>
        </w:rPr>
        <w:tab/>
      </w:r>
      <w:r>
        <w:rPr>
          <w:rFonts w:ascii="David" w:hAnsi="David" w:hint="cs"/>
          <w:b/>
          <w:bCs/>
        </w:rPr>
        <w:t>XX</w:t>
      </w:r>
      <w:r w:rsidR="00805A7D">
        <w:rPr>
          <w:rFonts w:ascii="David" w:hAnsi="David"/>
          <w:b/>
          <w:bCs/>
          <w:rtl/>
        </w:rPr>
        <w:t xml:space="preserve"> עד הסוף, כן?</w:t>
      </w:r>
    </w:p>
    <w:p w:rsidR="00805A7D" w:rsidRDefault="00805A7D" w:rsidP="00805A7D">
      <w:pPr>
        <w:spacing w:line="360" w:lineRule="auto"/>
        <w:ind w:left="135" w:firstLine="585"/>
        <w:jc w:val="both"/>
        <w:rPr>
          <w:rFonts w:ascii="David" w:hAnsi="David"/>
          <w:b/>
          <w:bCs/>
          <w:rtl/>
        </w:rPr>
      </w:pPr>
      <w:r>
        <w:rPr>
          <w:rFonts w:ascii="David" w:hAnsi="David"/>
          <w:b/>
          <w:bCs/>
          <w:rtl/>
        </w:rPr>
        <w:lastRenderedPageBreak/>
        <w:t>ניקו:</w:t>
      </w:r>
      <w:r>
        <w:rPr>
          <w:rFonts w:ascii="David" w:hAnsi="David"/>
          <w:b/>
          <w:bCs/>
          <w:rtl/>
        </w:rPr>
        <w:tab/>
        <w:t>או קי בסדר גמור. מספר יש? או שפשוט להגיע לשם לסוף?</w:t>
      </w:r>
    </w:p>
    <w:p w:rsidR="00805A7D" w:rsidRPr="00B43414" w:rsidRDefault="00B43414" w:rsidP="00B43414">
      <w:pPr>
        <w:spacing w:line="360" w:lineRule="auto"/>
        <w:ind w:left="135" w:firstLine="585"/>
        <w:jc w:val="both"/>
        <w:rPr>
          <w:rFonts w:ascii="David" w:hAnsi="David"/>
          <w:b/>
          <w:bCs/>
          <w:rtl/>
        </w:rPr>
      </w:pPr>
      <w:r>
        <w:rPr>
          <w:rFonts w:ascii="David" w:hAnsi="David" w:hint="cs"/>
          <w:b/>
          <w:bCs/>
        </w:rPr>
        <w:t>XX</w:t>
      </w:r>
      <w:r w:rsidR="00805A7D">
        <w:rPr>
          <w:rFonts w:ascii="David" w:hAnsi="David"/>
          <w:b/>
          <w:bCs/>
          <w:rtl/>
        </w:rPr>
        <w:t>:</w:t>
      </w:r>
      <w:r w:rsidR="00805A7D">
        <w:rPr>
          <w:rFonts w:ascii="David" w:hAnsi="David"/>
          <w:b/>
          <w:bCs/>
          <w:rtl/>
        </w:rPr>
        <w:tab/>
      </w:r>
      <w:r>
        <w:rPr>
          <w:rFonts w:ascii="David" w:hAnsi="David" w:hint="cs"/>
          <w:b/>
          <w:bCs/>
        </w:rPr>
        <w:t>XX</w:t>
      </w:r>
      <w:r w:rsidR="00805A7D">
        <w:rPr>
          <w:rFonts w:ascii="David" w:hAnsi="David"/>
          <w:b/>
          <w:bCs/>
          <w:rtl/>
        </w:rPr>
        <w:t xml:space="preserve">, אתה תראה </w:t>
      </w:r>
      <w:r>
        <w:rPr>
          <w:rFonts w:ascii="David" w:hAnsi="David" w:hint="cs"/>
          <w:b/>
          <w:bCs/>
        </w:rPr>
        <w:t>XX</w:t>
      </w:r>
      <w:r w:rsidR="00805A7D">
        <w:rPr>
          <w:rFonts w:ascii="David" w:hAnsi="David"/>
          <w:b/>
          <w:bCs/>
          <w:rtl/>
        </w:rPr>
        <w:t xml:space="preserve"> </w:t>
      </w:r>
      <w:r>
        <w:rPr>
          <w:rFonts w:ascii="David" w:hAnsi="David" w:hint="cs"/>
          <w:b/>
          <w:bCs/>
        </w:rPr>
        <w:t>XX</w:t>
      </w:r>
      <w:r w:rsidR="00805A7D">
        <w:rPr>
          <w:rFonts w:ascii="David" w:hAnsi="David"/>
          <w:b/>
          <w:bCs/>
          <w:rtl/>
        </w:rPr>
        <w:t xml:space="preserve"> ויש בפנים </w:t>
      </w:r>
      <w:r>
        <w:rPr>
          <w:rFonts w:ascii="David" w:hAnsi="David" w:hint="cs"/>
          <w:b/>
          <w:bCs/>
        </w:rPr>
        <w:t>XX</w:t>
      </w:r>
    </w:p>
    <w:p w:rsidR="00805A7D" w:rsidRDefault="00805A7D" w:rsidP="00805A7D">
      <w:pPr>
        <w:spacing w:line="360" w:lineRule="auto"/>
        <w:ind w:left="135" w:firstLine="585"/>
        <w:jc w:val="both"/>
        <w:rPr>
          <w:rFonts w:ascii="David" w:hAnsi="David"/>
          <w:b/>
          <w:bCs/>
          <w:rtl/>
        </w:rPr>
      </w:pPr>
      <w:r>
        <w:rPr>
          <w:rFonts w:ascii="David" w:hAnsi="David"/>
          <w:b/>
          <w:bCs/>
          <w:rtl/>
        </w:rPr>
        <w:t>ניקו:</w:t>
      </w:r>
      <w:r>
        <w:rPr>
          <w:rFonts w:ascii="David" w:hAnsi="David"/>
          <w:b/>
          <w:bCs/>
          <w:rtl/>
        </w:rPr>
        <w:tab/>
        <w:t>הבנתי, או קי בסדר גמור, אז אני בדקות הקרובות אהיה כבר אצלך</w:t>
      </w:r>
    </w:p>
    <w:p w:rsidR="00805A7D" w:rsidRDefault="00B43414" w:rsidP="00805A7D">
      <w:pPr>
        <w:spacing w:line="360" w:lineRule="auto"/>
        <w:ind w:left="135" w:firstLine="585"/>
        <w:jc w:val="both"/>
        <w:rPr>
          <w:rFonts w:ascii="David" w:hAnsi="David"/>
          <w:b/>
          <w:bCs/>
          <w:rtl/>
        </w:rPr>
      </w:pPr>
      <w:r>
        <w:rPr>
          <w:rFonts w:ascii="David" w:hAnsi="David" w:hint="cs"/>
          <w:b/>
          <w:bCs/>
        </w:rPr>
        <w:t>XX</w:t>
      </w:r>
      <w:r w:rsidR="00805A7D">
        <w:rPr>
          <w:rFonts w:ascii="David" w:hAnsi="David"/>
          <w:b/>
          <w:bCs/>
          <w:rtl/>
        </w:rPr>
        <w:t>:</w:t>
      </w:r>
      <w:r w:rsidR="00805A7D">
        <w:rPr>
          <w:rFonts w:ascii="David" w:hAnsi="David"/>
          <w:b/>
          <w:bCs/>
          <w:rtl/>
        </w:rPr>
        <w:tab/>
        <w:t>או קי, תודה</w:t>
      </w:r>
    </w:p>
    <w:p w:rsidR="00805A7D" w:rsidRDefault="00805A7D" w:rsidP="00805A7D">
      <w:pPr>
        <w:spacing w:line="360" w:lineRule="auto"/>
        <w:ind w:left="135" w:firstLine="585"/>
        <w:jc w:val="both"/>
        <w:rPr>
          <w:rFonts w:ascii="David" w:hAnsi="David"/>
          <w:rtl/>
        </w:rPr>
      </w:pPr>
      <w:r>
        <w:rPr>
          <w:rFonts w:ascii="David" w:hAnsi="David"/>
          <w:b/>
          <w:bCs/>
          <w:rtl/>
        </w:rPr>
        <w:t>ניקו: יום.. ביי בינתיים</w:t>
      </w:r>
      <w:r>
        <w:rPr>
          <w:rFonts w:ascii="David" w:hAnsi="David"/>
          <w:rtl/>
        </w:rPr>
        <w:t xml:space="preserve">". </w:t>
      </w:r>
    </w:p>
    <w:p w:rsidR="00805A7D" w:rsidRDefault="00805A7D" w:rsidP="00805A7D">
      <w:pPr>
        <w:spacing w:line="360" w:lineRule="auto"/>
        <w:ind w:left="135" w:firstLine="585"/>
        <w:jc w:val="both"/>
        <w:rPr>
          <w:rFonts w:ascii="David" w:hAnsi="David"/>
          <w:rtl/>
        </w:rPr>
      </w:pPr>
    </w:p>
    <w:p w:rsidR="00805A7D" w:rsidRDefault="00805A7D" w:rsidP="00805A7D">
      <w:pPr>
        <w:spacing w:line="360" w:lineRule="auto"/>
        <w:ind w:left="713" w:hanging="720"/>
        <w:jc w:val="both"/>
        <w:rPr>
          <w:rFonts w:ascii="David" w:hAnsi="David"/>
          <w:rtl/>
        </w:rPr>
      </w:pPr>
      <w:r>
        <w:rPr>
          <w:rFonts w:ascii="David" w:hAnsi="David"/>
          <w:rtl/>
        </w:rPr>
        <w:t>15.</w:t>
      </w:r>
      <w:r>
        <w:rPr>
          <w:rFonts w:ascii="David" w:hAnsi="David"/>
          <w:rtl/>
        </w:rPr>
        <w:tab/>
        <w:t xml:space="preserve">על אתר ומבלי להקדים את המאוחר יאמר שספק בעיני אם מדובר בחוות דעת (השוו: אליהו הרנון, </w:t>
      </w:r>
      <w:r>
        <w:rPr>
          <w:rFonts w:ascii="David" w:hAnsi="David"/>
          <w:u w:val="single"/>
          <w:rtl/>
        </w:rPr>
        <w:t>דיני הראיות</w:t>
      </w:r>
      <w:r>
        <w:rPr>
          <w:rFonts w:ascii="David" w:hAnsi="David"/>
          <w:rtl/>
        </w:rPr>
        <w:t xml:space="preserve"> (1977) עמ' 297). לבד מכך, לבית המשפט לא הוגשה בקשה להגשת חוות דעת של מומחה. כזכור, בבית משפט לענייני משפחה זכותו של בעל דין להגיש חוות דעת מטעמו אפשרית רק אם לא נעתר בית המשפט למינוי מומחה מטעם בית המשפט. </w:t>
      </w:r>
    </w:p>
    <w:p w:rsidR="00805A7D" w:rsidRDefault="00805A7D" w:rsidP="00805A7D">
      <w:pPr>
        <w:spacing w:line="360" w:lineRule="auto"/>
        <w:ind w:left="713" w:hanging="720"/>
        <w:jc w:val="both"/>
        <w:rPr>
          <w:rFonts w:ascii="David" w:hAnsi="David"/>
          <w:rtl/>
        </w:rPr>
      </w:pPr>
    </w:p>
    <w:p w:rsidR="00805A7D" w:rsidRDefault="00805A7D" w:rsidP="00805A7D">
      <w:pPr>
        <w:spacing w:line="360" w:lineRule="auto"/>
        <w:ind w:left="713"/>
        <w:jc w:val="both"/>
        <w:rPr>
          <w:rFonts w:ascii="David" w:hAnsi="David"/>
          <w:rtl/>
        </w:rPr>
      </w:pPr>
      <w:r>
        <w:rPr>
          <w:rFonts w:ascii="David" w:hAnsi="David"/>
          <w:rtl/>
        </w:rPr>
        <w:t>השליח לא יכול להיבנות ממסמך זה. אין במסמך תיעוד המעיד על מועד קיום השיחה. קלטת השמע מכוחה הוגש התמלול לא צורפה (השוו, הרנון, שם עמ' 315 ואילך). התובע לא זימן לחקירה את עורכת התמלול על כל המשתמע מכך.  מקל וחומר נכונים הדברים לאור אי צירופה של קלטת השמע ורצונו של השליח להסתמך על התמלול כדי להבהיר/ לשנות את תצהירו על אופן המסירה ומספר הפעמים שהגיע לבית הנתבעים (ראו להלן).</w:t>
      </w:r>
    </w:p>
    <w:p w:rsidR="00B43414" w:rsidRDefault="00B43414" w:rsidP="00805A7D">
      <w:pPr>
        <w:spacing w:line="360" w:lineRule="auto"/>
        <w:ind w:left="713"/>
        <w:jc w:val="both"/>
        <w:rPr>
          <w:rFonts w:ascii="David" w:hAnsi="David"/>
          <w:rtl/>
        </w:rPr>
      </w:pPr>
    </w:p>
    <w:p w:rsidR="00805A7D" w:rsidRDefault="00805A7D" w:rsidP="00805A7D">
      <w:pPr>
        <w:spacing w:line="360" w:lineRule="auto"/>
        <w:rPr>
          <w:rFonts w:ascii="David" w:hAnsi="David"/>
          <w:b/>
          <w:bCs/>
          <w:sz w:val="26"/>
          <w:szCs w:val="26"/>
          <w:rtl/>
        </w:rPr>
      </w:pPr>
      <w:r>
        <w:rPr>
          <w:rFonts w:ascii="David" w:hAnsi="David"/>
          <w:b/>
          <w:bCs/>
          <w:sz w:val="26"/>
          <w:szCs w:val="26"/>
          <w:u w:val="single"/>
          <w:rtl/>
        </w:rPr>
        <w:t>דיון והחלטה</w:t>
      </w:r>
      <w:r>
        <w:rPr>
          <w:rFonts w:ascii="David" w:hAnsi="David"/>
          <w:b/>
          <w:bCs/>
          <w:sz w:val="26"/>
          <w:szCs w:val="26"/>
          <w:rtl/>
        </w:rPr>
        <w:t>:</w:t>
      </w:r>
    </w:p>
    <w:p w:rsidR="00805A7D" w:rsidRDefault="00805A7D" w:rsidP="00805A7D">
      <w:pPr>
        <w:spacing w:line="360" w:lineRule="auto"/>
        <w:rPr>
          <w:rFonts w:ascii="David" w:hAnsi="David"/>
          <w:b/>
          <w:bCs/>
          <w:sz w:val="26"/>
          <w:szCs w:val="26"/>
          <w:rtl/>
        </w:rPr>
      </w:pPr>
    </w:p>
    <w:p w:rsidR="00805A7D" w:rsidRDefault="00805A7D" w:rsidP="00805A7D">
      <w:pPr>
        <w:spacing w:line="360" w:lineRule="auto"/>
        <w:rPr>
          <w:rFonts w:ascii="David" w:hAnsi="David"/>
          <w:b/>
          <w:bCs/>
          <w:rtl/>
        </w:rPr>
      </w:pPr>
      <w:r>
        <w:rPr>
          <w:rFonts w:ascii="David" w:hAnsi="David"/>
          <w:b/>
          <w:bCs/>
          <w:rtl/>
        </w:rPr>
        <w:tab/>
      </w:r>
      <w:r>
        <w:rPr>
          <w:rFonts w:ascii="David" w:hAnsi="David"/>
          <w:b/>
          <w:bCs/>
          <w:u w:val="single"/>
          <w:rtl/>
        </w:rPr>
        <w:t>מתווה נורמטיבי</w:t>
      </w:r>
      <w:r>
        <w:rPr>
          <w:rFonts w:ascii="David" w:hAnsi="David"/>
          <w:b/>
          <w:bCs/>
          <w:rtl/>
        </w:rPr>
        <w:t>:</w:t>
      </w:r>
    </w:p>
    <w:p w:rsidR="00805A7D" w:rsidRDefault="00805A7D" w:rsidP="00805A7D">
      <w:pPr>
        <w:spacing w:line="360" w:lineRule="auto"/>
        <w:rPr>
          <w:rFonts w:ascii="David" w:hAnsi="David"/>
          <w:b/>
          <w:bCs/>
          <w:rtl/>
        </w:rPr>
      </w:pPr>
    </w:p>
    <w:p w:rsidR="00805A7D" w:rsidRDefault="00805A7D" w:rsidP="00805A7D">
      <w:pPr>
        <w:spacing w:line="360" w:lineRule="auto"/>
        <w:ind w:left="720" w:hanging="720"/>
        <w:jc w:val="both"/>
        <w:rPr>
          <w:rFonts w:ascii="David" w:hAnsi="David"/>
          <w:color w:val="000000"/>
          <w:shd w:val="clear" w:color="auto" w:fill="FFFFFF"/>
          <w:rtl/>
        </w:rPr>
      </w:pPr>
      <w:r>
        <w:rPr>
          <w:rFonts w:ascii="David" w:hAnsi="David"/>
          <w:rtl/>
        </w:rPr>
        <w:t>16</w:t>
      </w:r>
      <w:r>
        <w:rPr>
          <w:rFonts w:ascii="David" w:hAnsi="David"/>
          <w:b/>
          <w:bCs/>
          <w:rtl/>
        </w:rPr>
        <w:t>.</w:t>
      </w:r>
      <w:r>
        <w:rPr>
          <w:rFonts w:ascii="David" w:hAnsi="David"/>
          <w:b/>
          <w:bCs/>
          <w:rtl/>
        </w:rPr>
        <w:tab/>
      </w:r>
      <w:r>
        <w:rPr>
          <w:rFonts w:ascii="David" w:hAnsi="David"/>
          <w:rtl/>
        </w:rPr>
        <w:t>"</w:t>
      </w:r>
      <w:r>
        <w:rPr>
          <w:rFonts w:ascii="David" w:hAnsi="David"/>
          <w:b/>
          <w:bCs/>
          <w:color w:val="000000"/>
          <w:shd w:val="clear" w:color="auto" w:fill="FFFFFF"/>
          <w:rtl/>
        </w:rPr>
        <w:t>הלכה פסוקה היא, כי ביטולו פסק דין שניתן במעמד צד אחד יכול שיעשה מכוח אחת משתיים: ביטול מחובת הצדק, מקום בו נפל פגם בהליך ההמצאה, או ביטול מכוח שיקול דעתו של בית המשפט (רע"א 4085/14 דוכונוב נ' אור עיד החזקות בע"מ (פורסם בנבו, 9.7.2014</w:t>
      </w:r>
      <w:r>
        <w:rPr>
          <w:rFonts w:ascii="David" w:hAnsi="David"/>
          <w:color w:val="000000"/>
          <w:shd w:val="clear" w:color="auto" w:fill="FFFFFF"/>
          <w:rtl/>
        </w:rPr>
        <w:t xml:space="preserve">)" (ראו: </w:t>
      </w:r>
      <w:r>
        <w:rPr>
          <w:rFonts w:ascii="David" w:hAnsi="David"/>
          <w:color w:val="000000"/>
          <w:u w:val="single"/>
          <w:shd w:val="clear" w:color="auto" w:fill="FFFFFF"/>
          <w:rtl/>
        </w:rPr>
        <w:t>תא (ת"א) 4016-08-16</w:t>
      </w:r>
      <w:r>
        <w:rPr>
          <w:rFonts w:ascii="David" w:hAnsi="David"/>
          <w:color w:val="000000"/>
          <w:shd w:val="clear" w:color="auto" w:fill="FFFFFF"/>
          <w:rtl/>
        </w:rPr>
        <w:t xml:space="preserve"> </w:t>
      </w:r>
      <w:r>
        <w:rPr>
          <w:rFonts w:ascii="David" w:hAnsi="David"/>
          <w:b/>
          <w:bCs/>
          <w:color w:val="000000"/>
          <w:shd w:val="clear" w:color="auto" w:fill="FFFFFF"/>
          <w:rtl/>
        </w:rPr>
        <w:t>לנה זאורוב</w:t>
      </w:r>
      <w:r>
        <w:rPr>
          <w:rFonts w:ascii="David" w:hAnsi="David"/>
          <w:color w:val="000000"/>
          <w:shd w:val="clear" w:color="auto" w:fill="FFFFFF"/>
          <w:rtl/>
        </w:rPr>
        <w:t xml:space="preserve"> נ' </w:t>
      </w:r>
      <w:r>
        <w:rPr>
          <w:rFonts w:ascii="David" w:hAnsi="David"/>
          <w:b/>
          <w:bCs/>
          <w:color w:val="000000"/>
          <w:sz w:val="20"/>
          <w:szCs w:val="20"/>
          <w:shd w:val="clear" w:color="auto" w:fill="FFFFFF"/>
        </w:rPr>
        <w:t>HUGO BOSS TRADE MARK</w:t>
      </w:r>
      <w:r>
        <w:rPr>
          <w:rFonts w:ascii="David" w:hAnsi="David"/>
          <w:b/>
          <w:bCs/>
          <w:color w:val="000000"/>
          <w:shd w:val="clear" w:color="auto" w:fill="FFFFFF"/>
        </w:rPr>
        <w:t xml:space="preserve"> </w:t>
      </w:r>
      <w:r>
        <w:rPr>
          <w:rFonts w:ascii="David" w:hAnsi="David"/>
          <w:color w:val="000000"/>
          <w:shd w:val="clear" w:color="auto" w:fill="FFFFFF"/>
        </w:rPr>
        <w:t xml:space="preserve"> </w:t>
      </w:r>
      <w:r>
        <w:rPr>
          <w:rFonts w:ascii="David" w:hAnsi="David"/>
          <w:color w:val="000000"/>
          <w:shd w:val="clear" w:color="auto" w:fill="FFFFFF"/>
          <w:rtl/>
        </w:rPr>
        <w:t>(8/1/2020)).</w:t>
      </w:r>
    </w:p>
    <w:p w:rsidR="00805A7D" w:rsidRDefault="00805A7D" w:rsidP="00805A7D">
      <w:pPr>
        <w:spacing w:line="360" w:lineRule="auto"/>
        <w:ind w:left="720" w:hanging="720"/>
        <w:jc w:val="both"/>
        <w:rPr>
          <w:rFonts w:ascii="David" w:hAnsi="David"/>
          <w:color w:val="000000"/>
          <w:shd w:val="clear" w:color="auto" w:fill="FFFFFF"/>
          <w:rtl/>
        </w:rPr>
      </w:pPr>
    </w:p>
    <w:p w:rsidR="00805A7D" w:rsidRDefault="00805A7D" w:rsidP="00805A7D">
      <w:pPr>
        <w:spacing w:line="360" w:lineRule="auto"/>
        <w:ind w:left="720"/>
        <w:jc w:val="both"/>
        <w:rPr>
          <w:rFonts w:ascii="David" w:hAnsi="David"/>
          <w:b/>
          <w:bCs/>
          <w:rtl/>
        </w:rPr>
      </w:pPr>
      <w:r>
        <w:rPr>
          <w:rFonts w:ascii="David" w:hAnsi="David"/>
          <w:color w:val="000000"/>
          <w:shd w:val="clear" w:color="auto" w:fill="FFFFFF"/>
          <w:rtl/>
        </w:rPr>
        <w:t>כך, הלכה היא ש"</w:t>
      </w:r>
      <w:r>
        <w:rPr>
          <w:rFonts w:ascii="David" w:hAnsi="David"/>
          <w:b/>
          <w:bCs/>
          <w:color w:val="000000"/>
          <w:shd w:val="clear" w:color="auto" w:fill="FFFFFF"/>
          <w:rtl/>
        </w:rPr>
        <w:t>כאשר פסק דין שניתן במעמד צד אחד הוא פגום ובדרך כלל נובע הפגם  מהיעדר המצאה כדין למבקש-יבוטל פסק הדין בלי להתייחס כלל למשקל הטענות ולסיכויי ההצלחה</w:t>
      </w:r>
      <w:r>
        <w:rPr>
          <w:rFonts w:ascii="David" w:hAnsi="David"/>
          <w:color w:val="000000"/>
          <w:shd w:val="clear" w:color="auto" w:fill="FFFFFF"/>
          <w:rtl/>
        </w:rPr>
        <w:t>...</w:t>
      </w:r>
      <w:r>
        <w:rPr>
          <w:rFonts w:ascii="David" w:hAnsi="David"/>
          <w:b/>
          <w:bCs/>
          <w:color w:val="000000"/>
          <w:shd w:val="clear" w:color="auto" w:fill="FFFFFF"/>
          <w:rtl/>
        </w:rPr>
        <w:t xml:space="preserve">" </w:t>
      </w:r>
      <w:r>
        <w:rPr>
          <w:rFonts w:ascii="David" w:hAnsi="David"/>
          <w:color w:val="000000"/>
          <w:shd w:val="clear" w:color="auto" w:fill="FFFFFF"/>
          <w:rtl/>
        </w:rPr>
        <w:t>שכן</w:t>
      </w:r>
      <w:r>
        <w:rPr>
          <w:rFonts w:ascii="David" w:hAnsi="David"/>
          <w:b/>
          <w:bCs/>
          <w:color w:val="000000"/>
          <w:shd w:val="clear" w:color="auto" w:fill="FFFFFF"/>
          <w:rtl/>
        </w:rPr>
        <w:t xml:space="preserve"> </w:t>
      </w:r>
      <w:r>
        <w:rPr>
          <w:rFonts w:ascii="David" w:hAnsi="David"/>
          <w:color w:val="000000"/>
          <w:shd w:val="clear" w:color="auto" w:fill="FFFFFF"/>
          <w:rtl/>
        </w:rPr>
        <w:t>"...</w:t>
      </w:r>
      <w:r>
        <w:rPr>
          <w:rFonts w:ascii="David" w:hAnsi="David"/>
          <w:b/>
          <w:bCs/>
          <w:color w:val="000000"/>
          <w:shd w:val="clear" w:color="auto" w:fill="FFFFFF"/>
          <w:rtl/>
        </w:rPr>
        <w:t>בעל דין זכאי לקיומם  התקין של ההליכים המקדמיים עובר למתן פסק הדין. ביטול כזה נעשה "מתוך חובת הצדק"</w:t>
      </w:r>
      <w:r>
        <w:rPr>
          <w:rFonts w:ascii="David" w:hAnsi="David"/>
          <w:color w:val="000000"/>
          <w:shd w:val="clear" w:color="auto" w:fill="FFFFFF"/>
          <w:rtl/>
        </w:rPr>
        <w:t>...</w:t>
      </w:r>
      <w:r>
        <w:rPr>
          <w:rFonts w:ascii="David" w:hAnsi="David"/>
          <w:b/>
          <w:bCs/>
          <w:color w:val="000000"/>
          <w:shd w:val="clear" w:color="auto" w:fill="FFFFFF"/>
          <w:rtl/>
        </w:rPr>
        <w:t>בידי כל אדם קנויה הזכות שלא יינתן נגדו פסק דין, אפילו פסק דין נכון וצודק, אלא בדרך משפטית ותקינה"</w:t>
      </w:r>
      <w:r>
        <w:rPr>
          <w:rFonts w:ascii="David" w:hAnsi="David"/>
          <w:color w:val="000000"/>
          <w:shd w:val="clear" w:color="auto" w:fill="FFFFFF"/>
          <w:rtl/>
        </w:rPr>
        <w:t xml:space="preserve"> [אורי גורן, </w:t>
      </w:r>
      <w:r>
        <w:rPr>
          <w:rFonts w:ascii="David" w:hAnsi="David"/>
          <w:color w:val="000000"/>
          <w:u w:val="single"/>
          <w:shd w:val="clear" w:color="auto" w:fill="FFFFFF"/>
          <w:rtl/>
        </w:rPr>
        <w:t>סוגיות בסדר דין אזרחי</w:t>
      </w:r>
      <w:r>
        <w:rPr>
          <w:rFonts w:ascii="David" w:hAnsi="David"/>
          <w:color w:val="000000"/>
          <w:shd w:val="clear" w:color="auto" w:fill="FFFFFF"/>
        </w:rPr>
        <w:t xml:space="preserve">, </w:t>
      </w:r>
      <w:r>
        <w:rPr>
          <w:rFonts w:ascii="David" w:hAnsi="David"/>
          <w:color w:val="000000"/>
          <w:shd w:val="clear" w:color="auto" w:fill="FFFFFF"/>
          <w:rtl/>
        </w:rPr>
        <w:t xml:space="preserve">מהדורה שתים עשרה, עמ' 641 (להלן- </w:t>
      </w:r>
      <w:r>
        <w:rPr>
          <w:rFonts w:ascii="David" w:hAnsi="David"/>
          <w:b/>
          <w:bCs/>
          <w:color w:val="000000"/>
          <w:shd w:val="clear" w:color="auto" w:fill="FFFFFF"/>
          <w:rtl/>
        </w:rPr>
        <w:t>גורן</w:t>
      </w:r>
      <w:r>
        <w:rPr>
          <w:rFonts w:ascii="David" w:hAnsi="David"/>
          <w:color w:val="000000"/>
          <w:shd w:val="clear" w:color="auto" w:fill="FFFFFF"/>
          <w:rtl/>
        </w:rPr>
        <w:t>)]</w:t>
      </w:r>
      <w:r>
        <w:rPr>
          <w:rFonts w:ascii="David" w:hAnsi="David"/>
          <w:color w:val="000000"/>
          <w:shd w:val="clear" w:color="auto" w:fill="FFFFFF"/>
        </w:rPr>
        <w:t>.</w:t>
      </w:r>
    </w:p>
    <w:p w:rsidR="00805A7D" w:rsidRDefault="00805A7D" w:rsidP="00805A7D">
      <w:pPr>
        <w:spacing w:line="360" w:lineRule="auto"/>
        <w:ind w:left="720"/>
        <w:jc w:val="both"/>
        <w:rPr>
          <w:rFonts w:ascii="David" w:hAnsi="David"/>
          <w:b/>
          <w:bCs/>
          <w:rtl/>
        </w:rPr>
      </w:pPr>
    </w:p>
    <w:p w:rsidR="00805A7D" w:rsidRDefault="00805A7D" w:rsidP="00805A7D">
      <w:pPr>
        <w:spacing w:line="360" w:lineRule="auto"/>
        <w:ind w:left="720"/>
        <w:jc w:val="both"/>
        <w:rPr>
          <w:rFonts w:ascii="David" w:hAnsi="David"/>
          <w:b/>
          <w:bCs/>
          <w:rtl/>
        </w:rPr>
      </w:pPr>
    </w:p>
    <w:p w:rsidR="00805A7D" w:rsidRDefault="00805A7D" w:rsidP="00805A7D">
      <w:pPr>
        <w:spacing w:line="360" w:lineRule="auto"/>
        <w:ind w:left="720"/>
        <w:jc w:val="both"/>
        <w:rPr>
          <w:rFonts w:ascii="David" w:hAnsi="David"/>
          <w:b/>
          <w:bCs/>
          <w:rtl/>
        </w:rPr>
      </w:pPr>
    </w:p>
    <w:p w:rsidR="00805A7D" w:rsidRDefault="00805A7D" w:rsidP="00805A7D">
      <w:pPr>
        <w:spacing w:line="360" w:lineRule="auto"/>
        <w:ind w:left="720"/>
        <w:jc w:val="both"/>
        <w:rPr>
          <w:rFonts w:ascii="David" w:hAnsi="David"/>
          <w:b/>
          <w:bCs/>
          <w:rtl/>
        </w:rPr>
      </w:pPr>
    </w:p>
    <w:p w:rsidR="00805A7D" w:rsidRDefault="00805A7D" w:rsidP="00805A7D">
      <w:pPr>
        <w:spacing w:line="360" w:lineRule="auto"/>
        <w:ind w:left="720"/>
        <w:jc w:val="both"/>
        <w:rPr>
          <w:rFonts w:ascii="David" w:hAnsi="David"/>
          <w:rtl/>
        </w:rPr>
      </w:pPr>
      <w:r>
        <w:rPr>
          <w:rFonts w:ascii="David" w:hAnsi="David"/>
          <w:rtl/>
        </w:rPr>
        <w:t>ב-</w:t>
      </w:r>
      <w:r>
        <w:rPr>
          <w:rFonts w:ascii="David" w:hAnsi="David"/>
          <w:u w:val="single"/>
          <w:rtl/>
        </w:rPr>
        <w:t xml:space="preserve">ע"א 3255/19 </w:t>
      </w:r>
      <w:r>
        <w:rPr>
          <w:rFonts w:ascii="David" w:hAnsi="David"/>
          <w:b/>
          <w:bCs/>
          <w:rtl/>
        </w:rPr>
        <w:t>טליה פבזנר</w:t>
      </w:r>
      <w:r>
        <w:rPr>
          <w:rFonts w:ascii="David" w:hAnsi="David"/>
          <w:rtl/>
        </w:rPr>
        <w:t xml:space="preserve"> נ' </w:t>
      </w:r>
      <w:r>
        <w:rPr>
          <w:rFonts w:ascii="David" w:hAnsi="David"/>
          <w:b/>
          <w:bCs/>
          <w:rtl/>
        </w:rPr>
        <w:t>יונתן שפר</w:t>
      </w:r>
      <w:r>
        <w:rPr>
          <w:rFonts w:ascii="David" w:hAnsi="David"/>
          <w:rtl/>
        </w:rPr>
        <w:t xml:space="preserve"> (30.5.2021) נקבע: </w:t>
      </w:r>
    </w:p>
    <w:p w:rsidR="00805A7D" w:rsidRDefault="00805A7D" w:rsidP="00805A7D">
      <w:pPr>
        <w:spacing w:line="360" w:lineRule="auto"/>
        <w:ind w:left="720"/>
        <w:jc w:val="both"/>
        <w:rPr>
          <w:rFonts w:ascii="David" w:hAnsi="David"/>
          <w:rtl/>
        </w:rPr>
      </w:pPr>
    </w:p>
    <w:p w:rsidR="00805A7D" w:rsidRDefault="00805A7D" w:rsidP="00805A7D">
      <w:pPr>
        <w:pStyle w:val="Ruller4"/>
        <w:numPr>
          <w:ilvl w:val="0"/>
          <w:numId w:val="0"/>
        </w:numPr>
        <w:ind w:left="720"/>
        <w:rPr>
          <w:rFonts w:ascii="David" w:eastAsiaTheme="minorHAnsi" w:hAnsi="David" w:cs="David"/>
          <w:color w:val="000000"/>
          <w:spacing w:val="0"/>
          <w:szCs w:val="24"/>
          <w:shd w:val="clear" w:color="auto" w:fill="FFFFFF"/>
          <w:rtl/>
        </w:rPr>
      </w:pPr>
      <w:r>
        <w:rPr>
          <w:rFonts w:ascii="David" w:eastAsiaTheme="minorHAnsi" w:hAnsi="David" w:cs="David"/>
          <w:b/>
          <w:bCs/>
          <w:color w:val="000000"/>
          <w:spacing w:val="0"/>
          <w:szCs w:val="24"/>
          <w:shd w:val="clear" w:color="auto" w:fill="FFFFFF"/>
          <w:rtl/>
        </w:rPr>
        <w:t xml:space="preserve">קיימת אפשרות נוספת לבקש ביטול של פסק דין שניתן במעמד צד אחד, בהתאם לקבוע </w:t>
      </w:r>
      <w:hyperlink r:id="rId6" w:history="1">
        <w:r>
          <w:rPr>
            <w:rStyle w:val="Hyperlink"/>
            <w:rFonts w:ascii="David" w:eastAsiaTheme="minorHAnsi" w:hAnsi="David" w:cs="David"/>
            <w:b/>
            <w:bCs/>
            <w:color w:val="000000"/>
            <w:spacing w:val="0"/>
            <w:szCs w:val="24"/>
            <w:shd w:val="clear" w:color="auto" w:fill="FFFFFF"/>
            <w:rtl/>
          </w:rPr>
          <w:t>בתקנה 131</w:t>
        </w:r>
      </w:hyperlink>
      <w:r>
        <w:rPr>
          <w:rFonts w:ascii="David" w:eastAsiaTheme="minorHAnsi" w:hAnsi="David" w:cs="David"/>
          <w:b/>
          <w:bCs/>
          <w:color w:val="000000"/>
          <w:spacing w:val="0"/>
          <w:szCs w:val="24"/>
          <w:shd w:val="clear" w:color="auto" w:fill="FFFFFF"/>
          <w:rtl/>
        </w:rPr>
        <w:t xml:space="preserve"> ל</w:t>
      </w:r>
      <w:hyperlink r:id="rId7" w:history="1">
        <w:r>
          <w:rPr>
            <w:rStyle w:val="Hyperlink"/>
            <w:rFonts w:ascii="David" w:eastAsiaTheme="minorHAnsi" w:hAnsi="David" w:cs="David"/>
            <w:b/>
            <w:bCs/>
            <w:color w:val="000000"/>
            <w:spacing w:val="0"/>
            <w:szCs w:val="24"/>
            <w:shd w:val="clear" w:color="auto" w:fill="FFFFFF"/>
            <w:rtl/>
          </w:rPr>
          <w:t>תקנות סדר הדין האזרחי, התשע"ט</w:t>
        </w:r>
      </w:hyperlink>
      <w:r>
        <w:rPr>
          <w:rFonts w:ascii="David" w:eastAsiaTheme="minorHAnsi" w:hAnsi="David" w:cs="David"/>
          <w:b/>
          <w:bCs/>
          <w:color w:val="000000"/>
          <w:spacing w:val="0"/>
          <w:szCs w:val="24"/>
          <w:shd w:val="clear" w:color="auto" w:fill="FFFFFF"/>
          <w:rtl/>
        </w:rPr>
        <w:t>-2018 (להלן: התקנות החדשות). במסגרת תקנה זו, ניתנה לבית המשפט סמכות לבטל פסק דין כאמור, "בתנאים שייראו לו", אם הוגשה בקשת ביטול מטעם בעל הדין "שנגדו ניתנה ההחלטה" בתוך 30 ימים למן היום שבו הומצאה לו</w:t>
      </w:r>
      <w:r>
        <w:rPr>
          <w:rFonts w:ascii="David" w:eastAsiaTheme="minorHAnsi" w:hAnsi="David" w:cs="David"/>
          <w:color w:val="000000"/>
          <w:spacing w:val="0"/>
          <w:szCs w:val="24"/>
          <w:shd w:val="clear" w:color="auto" w:fill="FFFFFF"/>
          <w:rtl/>
        </w:rPr>
        <w:t xml:space="preserve"> [...]</w:t>
      </w:r>
      <w:r>
        <w:rPr>
          <w:rFonts w:ascii="David" w:eastAsiaTheme="minorHAnsi" w:hAnsi="David" w:cs="David"/>
          <w:b/>
          <w:bCs/>
          <w:color w:val="000000"/>
          <w:spacing w:val="0"/>
          <w:szCs w:val="24"/>
          <w:shd w:val="clear" w:color="auto" w:fill="FFFFFF"/>
          <w:rtl/>
        </w:rPr>
        <w:t xml:space="preserve"> הסדר זה, יסודו בכך שפסק דין המטיל חובות על אדם, מבלי שניתן לו יומו בבית המשפט, ובלא </w:t>
      </w:r>
      <w:proofErr w:type="spellStart"/>
      <w:r>
        <w:rPr>
          <w:rFonts w:ascii="David" w:eastAsiaTheme="minorHAnsi" w:hAnsi="David" w:cs="David"/>
          <w:b/>
          <w:bCs/>
          <w:color w:val="000000"/>
          <w:spacing w:val="0"/>
          <w:szCs w:val="24"/>
          <w:shd w:val="clear" w:color="auto" w:fill="FFFFFF"/>
          <w:rtl/>
        </w:rPr>
        <w:t>שהיתה</w:t>
      </w:r>
      <w:proofErr w:type="spellEnd"/>
      <w:r>
        <w:rPr>
          <w:rFonts w:ascii="David" w:eastAsiaTheme="minorHAnsi" w:hAnsi="David" w:cs="David"/>
          <w:b/>
          <w:bCs/>
          <w:color w:val="000000"/>
          <w:spacing w:val="0"/>
          <w:szCs w:val="24"/>
          <w:shd w:val="clear" w:color="auto" w:fill="FFFFFF"/>
          <w:rtl/>
        </w:rPr>
        <w:t xml:space="preserve"> לו הזדמנות להתגונן מפני התביעה נגדו – הריהו פסק דין פגום (</w:t>
      </w:r>
      <w:hyperlink r:id="rId8" w:history="1">
        <w:r>
          <w:rPr>
            <w:rStyle w:val="Hyperlink"/>
            <w:rFonts w:ascii="David" w:eastAsiaTheme="minorHAnsi" w:hAnsi="David" w:cs="David"/>
            <w:b/>
            <w:bCs/>
            <w:color w:val="000000"/>
            <w:spacing w:val="0"/>
            <w:szCs w:val="24"/>
            <w:shd w:val="clear" w:color="auto" w:fill="FFFFFF"/>
            <w:rtl/>
          </w:rPr>
          <w:t>ע"א 64/53</w:t>
        </w:r>
      </w:hyperlink>
      <w:r>
        <w:rPr>
          <w:rFonts w:ascii="David" w:eastAsiaTheme="minorHAnsi" w:hAnsi="David" w:cs="David"/>
          <w:b/>
          <w:bCs/>
          <w:color w:val="000000"/>
          <w:spacing w:val="0"/>
          <w:szCs w:val="24"/>
          <w:shd w:val="clear" w:color="auto" w:fill="FFFFFF"/>
          <w:rtl/>
        </w:rPr>
        <w:t xml:space="preserve"> כהן נ' יצחק, פ"ד ח 395, 397 (1954)). על כן, נקבע בפסיקה כי הנטייה תהא להורות על ביטול פסקי דין מעין אלה, ככל שניתן טעם מספיק להעדר ההתגוננות או ההתייצבות, תוך חיוב בעל הדין מבקש הביטול בהוצאות, בהתאם לנסיבות העניין (</w:t>
      </w:r>
      <w:hyperlink r:id="rId9" w:history="1">
        <w:r>
          <w:rPr>
            <w:rStyle w:val="Hyperlink"/>
            <w:rFonts w:ascii="David" w:eastAsiaTheme="minorHAnsi" w:hAnsi="David" w:cs="David"/>
            <w:b/>
            <w:bCs/>
            <w:color w:val="000000"/>
            <w:spacing w:val="0"/>
            <w:szCs w:val="24"/>
            <w:shd w:val="clear" w:color="auto" w:fill="FFFFFF"/>
            <w:rtl/>
          </w:rPr>
          <w:t>רע"א 1958/00</w:t>
        </w:r>
      </w:hyperlink>
      <w:r>
        <w:rPr>
          <w:rFonts w:ascii="David" w:eastAsiaTheme="minorHAnsi" w:hAnsi="David" w:cs="David"/>
          <w:b/>
          <w:bCs/>
          <w:color w:val="000000"/>
          <w:spacing w:val="0"/>
          <w:szCs w:val="24"/>
          <w:shd w:val="clear" w:color="auto" w:fill="FFFFFF"/>
          <w:rtl/>
        </w:rPr>
        <w:t xml:space="preserve"> נדב נ' סלון מרכזי למכונות כביסה וטלוויזיה בבית אל על, פ"ד </w:t>
      </w:r>
      <w:proofErr w:type="spellStart"/>
      <w:r>
        <w:rPr>
          <w:rFonts w:ascii="David" w:eastAsiaTheme="minorHAnsi" w:hAnsi="David" w:cs="David"/>
          <w:b/>
          <w:bCs/>
          <w:color w:val="000000"/>
          <w:spacing w:val="0"/>
          <w:szCs w:val="24"/>
          <w:shd w:val="clear" w:color="auto" w:fill="FFFFFF"/>
          <w:rtl/>
        </w:rPr>
        <w:t>נה</w:t>
      </w:r>
      <w:proofErr w:type="spellEnd"/>
      <w:r>
        <w:rPr>
          <w:rFonts w:ascii="David" w:eastAsiaTheme="minorHAnsi" w:hAnsi="David" w:cs="David"/>
          <w:b/>
          <w:bCs/>
          <w:color w:val="000000"/>
          <w:spacing w:val="0"/>
          <w:szCs w:val="24"/>
          <w:shd w:val="clear" w:color="auto" w:fill="FFFFFF"/>
          <w:rtl/>
        </w:rPr>
        <w:t xml:space="preserve">(5) 43 (2001); </w:t>
      </w:r>
      <w:hyperlink r:id="rId10" w:history="1">
        <w:r>
          <w:rPr>
            <w:rStyle w:val="Hyperlink"/>
            <w:rFonts w:ascii="David" w:eastAsiaTheme="minorHAnsi" w:hAnsi="David" w:cs="David"/>
            <w:b/>
            <w:bCs/>
            <w:color w:val="000000"/>
            <w:spacing w:val="0"/>
            <w:szCs w:val="24"/>
            <w:shd w:val="clear" w:color="auto" w:fill="FFFFFF"/>
            <w:rtl/>
          </w:rPr>
          <w:t>רע"א 2158/15</w:t>
        </w:r>
      </w:hyperlink>
      <w:r>
        <w:rPr>
          <w:rFonts w:ascii="David" w:eastAsiaTheme="minorHAnsi" w:hAnsi="David" w:cs="David"/>
          <w:b/>
          <w:bCs/>
          <w:color w:val="000000"/>
          <w:spacing w:val="0"/>
          <w:szCs w:val="24"/>
          <w:shd w:val="clear" w:color="auto" w:fill="FFFFFF"/>
          <w:rtl/>
        </w:rPr>
        <w:t xml:space="preserve"> עיסא נ' סרסור, [פורסם בנבו] פסקה 3 (2.6.2015)).</w:t>
      </w:r>
      <w:r>
        <w:rPr>
          <w:rFonts w:ascii="David" w:eastAsiaTheme="minorHAnsi" w:hAnsi="David" w:cs="David"/>
          <w:color w:val="000000"/>
          <w:spacing w:val="0"/>
          <w:szCs w:val="24"/>
          <w:shd w:val="clear" w:color="auto" w:fill="FFFFFF"/>
          <w:rtl/>
        </w:rPr>
        <w:t>"</w:t>
      </w:r>
    </w:p>
    <w:p w:rsidR="00805A7D" w:rsidRDefault="00805A7D" w:rsidP="00805A7D">
      <w:pPr>
        <w:spacing w:line="360" w:lineRule="auto"/>
        <w:ind w:left="135" w:firstLine="585"/>
        <w:jc w:val="both"/>
        <w:rPr>
          <w:rFonts w:ascii="David" w:eastAsiaTheme="minorHAnsi" w:hAnsi="David"/>
          <w:b/>
          <w:bCs/>
          <w:sz w:val="26"/>
          <w:szCs w:val="26"/>
          <w:u w:val="single"/>
          <w:rtl/>
        </w:rPr>
      </w:pPr>
    </w:p>
    <w:p w:rsidR="00805A7D" w:rsidRDefault="00805A7D" w:rsidP="00805A7D">
      <w:pPr>
        <w:spacing w:line="360" w:lineRule="auto"/>
        <w:ind w:left="135" w:firstLine="585"/>
        <w:jc w:val="both"/>
        <w:rPr>
          <w:rFonts w:ascii="David" w:hAnsi="David"/>
          <w:b/>
          <w:bCs/>
          <w:sz w:val="26"/>
          <w:szCs w:val="26"/>
          <w:rtl/>
        </w:rPr>
      </w:pPr>
      <w:r>
        <w:rPr>
          <w:rFonts w:ascii="David" w:hAnsi="David"/>
          <w:b/>
          <w:bCs/>
          <w:sz w:val="26"/>
          <w:szCs w:val="26"/>
          <w:u w:val="single"/>
          <w:rtl/>
        </w:rPr>
        <w:t>מן הכלל אל הפרט</w:t>
      </w:r>
      <w:r>
        <w:rPr>
          <w:rFonts w:ascii="David" w:hAnsi="David"/>
          <w:b/>
          <w:bCs/>
          <w:sz w:val="26"/>
          <w:szCs w:val="26"/>
          <w:rtl/>
        </w:rPr>
        <w:t>:</w:t>
      </w:r>
    </w:p>
    <w:p w:rsidR="00805A7D" w:rsidRDefault="00805A7D" w:rsidP="00805A7D">
      <w:pPr>
        <w:spacing w:line="360" w:lineRule="auto"/>
        <w:ind w:left="135" w:firstLine="585"/>
        <w:jc w:val="both"/>
        <w:rPr>
          <w:rFonts w:ascii="David" w:hAnsi="David"/>
          <w:b/>
          <w:bCs/>
          <w:sz w:val="26"/>
          <w:szCs w:val="26"/>
          <w:rtl/>
        </w:rPr>
      </w:pPr>
    </w:p>
    <w:p w:rsidR="00805A7D" w:rsidRDefault="00805A7D" w:rsidP="00805A7D">
      <w:pPr>
        <w:spacing w:line="360" w:lineRule="auto"/>
        <w:ind w:left="843" w:hanging="850"/>
        <w:jc w:val="both"/>
        <w:rPr>
          <w:rFonts w:ascii="David" w:hAnsi="David"/>
          <w:rtl/>
        </w:rPr>
      </w:pPr>
      <w:r>
        <w:rPr>
          <w:rFonts w:ascii="David" w:hAnsi="David"/>
          <w:rtl/>
        </w:rPr>
        <w:t>17.</w:t>
      </w:r>
      <w:r>
        <w:rPr>
          <w:rFonts w:ascii="David" w:hAnsi="David"/>
          <w:rtl/>
        </w:rPr>
        <w:tab/>
        <w:t xml:space="preserve">על פי עדותו של השליח בדיון אל מול תצהירו שצורף להודעה הראשונה עולה תמונה המעמידה בספק את גרסתו הראשונה לעניין דרך מסירת כתב התביעה כדין לנתבעים, אותה גרסה מכוחה ניתן פסק הדין והמסקנה המתבקשת היא לקבל את בקשת הנתבעים. </w:t>
      </w:r>
    </w:p>
    <w:p w:rsidR="00805A7D" w:rsidRDefault="00805A7D" w:rsidP="00805A7D">
      <w:pPr>
        <w:spacing w:line="360" w:lineRule="auto"/>
        <w:ind w:left="843" w:hanging="850"/>
        <w:jc w:val="both"/>
        <w:rPr>
          <w:rFonts w:ascii="David" w:hAnsi="David"/>
          <w:rtl/>
        </w:rPr>
      </w:pPr>
    </w:p>
    <w:p w:rsidR="00805A7D" w:rsidRDefault="00805A7D" w:rsidP="00805A7D">
      <w:pPr>
        <w:spacing w:line="360" w:lineRule="auto"/>
        <w:ind w:left="713" w:hanging="720"/>
        <w:jc w:val="both"/>
        <w:rPr>
          <w:rFonts w:ascii="David" w:hAnsi="David"/>
          <w:rtl/>
        </w:rPr>
      </w:pPr>
      <w:r>
        <w:rPr>
          <w:rFonts w:ascii="David" w:hAnsi="David"/>
          <w:rtl/>
        </w:rPr>
        <w:t>18.</w:t>
      </w:r>
      <w:r>
        <w:rPr>
          <w:rFonts w:ascii="David" w:hAnsi="David"/>
          <w:rtl/>
        </w:rPr>
        <w:tab/>
        <w:t>יודגש שבתצהירו של השליח שצורף להודעה הראשונה אין זכר לתיאור המסירה כפי שנכתב  בהודעה הראשונה שנוסחה הובא לעיל זולת הטענה שהנתבעים סירבו לחתום על אישור המסירה, ודי היה בתצהירו למתן פסק הדין מלכתחילה, שבוטל בהמשך.</w:t>
      </w:r>
    </w:p>
    <w:p w:rsidR="00805A7D" w:rsidRDefault="00805A7D" w:rsidP="00805A7D">
      <w:pPr>
        <w:spacing w:line="360" w:lineRule="auto"/>
        <w:ind w:left="713" w:hanging="720"/>
        <w:jc w:val="both"/>
        <w:rPr>
          <w:rFonts w:ascii="David" w:hAnsi="David"/>
          <w:rtl/>
        </w:rPr>
      </w:pPr>
    </w:p>
    <w:p w:rsidR="00805A7D" w:rsidRDefault="00805A7D" w:rsidP="00805A7D">
      <w:pPr>
        <w:spacing w:line="360" w:lineRule="auto"/>
        <w:ind w:left="-7"/>
        <w:jc w:val="both"/>
        <w:rPr>
          <w:rFonts w:ascii="David" w:hAnsi="David"/>
          <w:rtl/>
        </w:rPr>
      </w:pPr>
      <w:r>
        <w:rPr>
          <w:rFonts w:ascii="David" w:hAnsi="David"/>
          <w:rtl/>
        </w:rPr>
        <w:t>19.</w:t>
      </w:r>
      <w:r>
        <w:rPr>
          <w:rFonts w:ascii="David" w:hAnsi="David"/>
          <w:rtl/>
        </w:rPr>
        <w:tab/>
        <w:t xml:space="preserve">התצהיר עליו חתם השליח הוא טופס מובנה הכולל מספר אפשרויות של המסירה: </w:t>
      </w:r>
    </w:p>
    <w:p w:rsidR="00805A7D" w:rsidRDefault="00805A7D" w:rsidP="00805A7D">
      <w:pPr>
        <w:spacing w:line="360" w:lineRule="auto"/>
        <w:ind w:left="843"/>
        <w:jc w:val="both"/>
        <w:rPr>
          <w:rFonts w:ascii="David" w:hAnsi="David"/>
          <w:b/>
          <w:bCs/>
          <w:rtl/>
        </w:rPr>
      </w:pPr>
      <w:r>
        <w:rPr>
          <w:rFonts w:ascii="David" w:hAnsi="David"/>
          <w:rtl/>
        </w:rPr>
        <w:t>"</w:t>
      </w:r>
      <w:r>
        <w:rPr>
          <w:rFonts w:ascii="David" w:hAnsi="David"/>
          <w:b/>
          <w:bCs/>
          <w:rtl/>
        </w:rPr>
        <w:t>המסירה נמסרה  :</w:t>
      </w:r>
    </w:p>
    <w:p w:rsidR="00805A7D" w:rsidRDefault="00805A7D" w:rsidP="00805A7D">
      <w:pPr>
        <w:spacing w:line="360" w:lineRule="auto"/>
        <w:ind w:left="843"/>
        <w:jc w:val="both"/>
        <w:rPr>
          <w:rFonts w:ascii="David" w:hAnsi="David"/>
          <w:b/>
          <w:bCs/>
          <w:rtl/>
        </w:rPr>
      </w:pPr>
      <w:r>
        <w:rPr>
          <w:rFonts w:ascii="David" w:hAnsi="David"/>
          <w:b/>
          <w:bCs/>
          <w:rtl/>
        </w:rPr>
        <w:t>[  ] לחייב/ת שקיבל/ וחתם</w:t>
      </w:r>
    </w:p>
    <w:p w:rsidR="00805A7D" w:rsidRDefault="00805A7D" w:rsidP="00805A7D">
      <w:pPr>
        <w:spacing w:line="360" w:lineRule="auto"/>
        <w:ind w:left="843"/>
        <w:jc w:val="both"/>
        <w:rPr>
          <w:rFonts w:ascii="David" w:hAnsi="David"/>
          <w:b/>
          <w:bCs/>
          <w:rtl/>
        </w:rPr>
      </w:pPr>
      <w:r>
        <w:rPr>
          <w:rFonts w:ascii="David" w:hAnsi="David"/>
          <w:b/>
          <w:bCs/>
          <w:rtl/>
        </w:rPr>
        <w:t xml:space="preserve">[  ]  לחייב אשר סירב לחתום </w:t>
      </w:r>
    </w:p>
    <w:p w:rsidR="00805A7D" w:rsidRDefault="00805A7D" w:rsidP="00805A7D">
      <w:pPr>
        <w:spacing w:line="360" w:lineRule="auto"/>
        <w:ind w:left="843"/>
        <w:jc w:val="both"/>
        <w:rPr>
          <w:rFonts w:ascii="David" w:hAnsi="David"/>
          <w:b/>
          <w:bCs/>
          <w:rtl/>
        </w:rPr>
      </w:pPr>
      <w:r>
        <w:rPr>
          <w:rFonts w:ascii="David" w:hAnsi="David"/>
          <w:b/>
          <w:bCs/>
          <w:rtl/>
        </w:rPr>
        <w:t>[  ]  החייב סירב לקבל והמסמכים הושארו במקום</w:t>
      </w:r>
    </w:p>
    <w:p w:rsidR="00805A7D" w:rsidRDefault="00805A7D" w:rsidP="00805A7D">
      <w:pPr>
        <w:spacing w:line="360" w:lineRule="auto"/>
        <w:ind w:left="843"/>
        <w:jc w:val="both"/>
        <w:rPr>
          <w:rFonts w:ascii="David" w:hAnsi="David"/>
          <w:b/>
          <w:bCs/>
          <w:rtl/>
        </w:rPr>
      </w:pPr>
      <w:r>
        <w:rPr>
          <w:rFonts w:ascii="David" w:hAnsi="David"/>
          <w:b/>
          <w:bCs/>
          <w:rtl/>
        </w:rPr>
        <w:t xml:space="preserve">[  ]  לבן משפחה ששמו _________ שהוא ________ של החייב ש- </w:t>
      </w:r>
    </w:p>
    <w:p w:rsidR="00805A7D" w:rsidRDefault="00805A7D" w:rsidP="00805A7D">
      <w:pPr>
        <w:spacing w:line="360" w:lineRule="auto"/>
        <w:ind w:left="843"/>
        <w:jc w:val="both"/>
        <w:rPr>
          <w:rFonts w:ascii="David" w:hAnsi="David"/>
          <w:b/>
          <w:bCs/>
          <w:rtl/>
        </w:rPr>
      </w:pPr>
      <w:r>
        <w:rPr>
          <w:rFonts w:ascii="David" w:hAnsi="David"/>
          <w:b/>
          <w:bCs/>
          <w:rtl/>
        </w:rPr>
        <w:t xml:space="preserve">[  ]  קיבל וחתם </w:t>
      </w:r>
    </w:p>
    <w:p w:rsidR="00805A7D" w:rsidRDefault="00805A7D" w:rsidP="00805A7D">
      <w:pPr>
        <w:spacing w:line="360" w:lineRule="auto"/>
        <w:ind w:left="843"/>
        <w:jc w:val="both"/>
        <w:rPr>
          <w:rFonts w:ascii="David" w:hAnsi="David"/>
          <w:b/>
          <w:bCs/>
          <w:rtl/>
        </w:rPr>
      </w:pPr>
      <w:r>
        <w:rPr>
          <w:rFonts w:ascii="David" w:hAnsi="David"/>
          <w:b/>
          <w:bCs/>
          <w:rtl/>
        </w:rPr>
        <w:t xml:space="preserve">[  ]  קיבל אך סירב לחתום </w:t>
      </w:r>
    </w:p>
    <w:p w:rsidR="00805A7D" w:rsidRDefault="00805A7D" w:rsidP="00805A7D">
      <w:pPr>
        <w:spacing w:line="360" w:lineRule="auto"/>
        <w:ind w:left="843"/>
        <w:jc w:val="both"/>
        <w:rPr>
          <w:rFonts w:ascii="David" w:hAnsi="David"/>
          <w:b/>
          <w:bCs/>
          <w:rtl/>
        </w:rPr>
      </w:pPr>
      <w:r>
        <w:rPr>
          <w:rFonts w:ascii="David" w:hAnsi="David"/>
          <w:b/>
          <w:bCs/>
          <w:rtl/>
        </w:rPr>
        <w:t>[  ]  סירב לקבל והמסמכים הושארו במקום</w:t>
      </w:r>
    </w:p>
    <w:p w:rsidR="00805A7D" w:rsidRDefault="00805A7D" w:rsidP="00805A7D">
      <w:pPr>
        <w:spacing w:line="360" w:lineRule="auto"/>
        <w:ind w:left="843"/>
        <w:jc w:val="both"/>
        <w:rPr>
          <w:rFonts w:ascii="David" w:hAnsi="David"/>
          <w:b/>
          <w:bCs/>
          <w:u w:val="single"/>
          <w:rtl/>
        </w:rPr>
      </w:pPr>
      <w:r>
        <w:rPr>
          <w:rFonts w:ascii="David" w:hAnsi="David"/>
          <w:b/>
          <w:bCs/>
          <w:rtl/>
        </w:rPr>
        <w:t xml:space="preserve">[  </w:t>
      </w:r>
      <w:r>
        <w:rPr>
          <w:rFonts w:ascii="David" w:hAnsi="David"/>
          <w:b/>
          <w:bCs/>
          <w:u w:val="single"/>
          <w:rtl/>
        </w:rPr>
        <w:t>]  הודבק על הדלת לאחר 3 ביקורים בימים</w:t>
      </w:r>
    </w:p>
    <w:p w:rsidR="00805A7D" w:rsidRDefault="00805A7D" w:rsidP="00805A7D">
      <w:pPr>
        <w:spacing w:line="360" w:lineRule="auto"/>
        <w:ind w:left="843"/>
        <w:jc w:val="both"/>
        <w:rPr>
          <w:rFonts w:ascii="David" w:hAnsi="David"/>
          <w:b/>
          <w:bCs/>
          <w:rtl/>
        </w:rPr>
      </w:pPr>
      <w:r>
        <w:rPr>
          <w:rFonts w:ascii="David" w:hAnsi="David"/>
          <w:b/>
          <w:bCs/>
          <w:u w:val="single"/>
          <w:rtl/>
        </w:rPr>
        <w:t>ביום</w:t>
      </w:r>
      <w:r>
        <w:rPr>
          <w:rFonts w:ascii="David" w:hAnsi="David"/>
          <w:b/>
          <w:bCs/>
          <w:rtl/>
        </w:rPr>
        <w:t xml:space="preserve">    </w:t>
      </w:r>
      <w:r>
        <w:rPr>
          <w:rFonts w:ascii="David" w:hAnsi="David"/>
          <w:b/>
          <w:bCs/>
          <w:u w:val="single"/>
          <w:rtl/>
        </w:rPr>
        <w:t>בשעה</w:t>
      </w:r>
      <w:r>
        <w:rPr>
          <w:rFonts w:ascii="David" w:hAnsi="David"/>
          <w:b/>
          <w:bCs/>
          <w:rtl/>
        </w:rPr>
        <w:t xml:space="preserve"> </w:t>
      </w:r>
    </w:p>
    <w:p w:rsidR="00805A7D" w:rsidRDefault="00805A7D" w:rsidP="00805A7D">
      <w:pPr>
        <w:spacing w:line="360" w:lineRule="auto"/>
        <w:ind w:left="843"/>
        <w:jc w:val="both"/>
        <w:rPr>
          <w:rFonts w:ascii="David" w:hAnsi="David"/>
          <w:b/>
          <w:bCs/>
          <w:rtl/>
        </w:rPr>
      </w:pPr>
      <w:r>
        <w:rPr>
          <w:rFonts w:ascii="David" w:hAnsi="David"/>
          <w:b/>
          <w:bCs/>
          <w:u w:val="single"/>
          <w:rtl/>
        </w:rPr>
        <w:lastRenderedPageBreak/>
        <w:t>ביום</w:t>
      </w:r>
      <w:r>
        <w:rPr>
          <w:rFonts w:ascii="David" w:hAnsi="David"/>
          <w:b/>
          <w:bCs/>
          <w:rtl/>
        </w:rPr>
        <w:t xml:space="preserve">    </w:t>
      </w:r>
      <w:r>
        <w:rPr>
          <w:rFonts w:ascii="David" w:hAnsi="David"/>
          <w:b/>
          <w:bCs/>
          <w:u w:val="single"/>
          <w:rtl/>
        </w:rPr>
        <w:t>בשעה</w:t>
      </w:r>
    </w:p>
    <w:p w:rsidR="00805A7D" w:rsidRDefault="00805A7D" w:rsidP="00805A7D">
      <w:pPr>
        <w:spacing w:line="360" w:lineRule="auto"/>
        <w:ind w:left="843"/>
        <w:jc w:val="both"/>
        <w:rPr>
          <w:rFonts w:ascii="David" w:hAnsi="David"/>
          <w:rtl/>
        </w:rPr>
      </w:pPr>
      <w:r>
        <w:rPr>
          <w:rFonts w:ascii="David" w:hAnsi="David"/>
          <w:b/>
          <w:bCs/>
          <w:u w:val="single"/>
          <w:rtl/>
        </w:rPr>
        <w:t>ביום</w:t>
      </w:r>
      <w:r>
        <w:rPr>
          <w:rFonts w:ascii="David" w:hAnsi="David"/>
          <w:b/>
          <w:bCs/>
          <w:rtl/>
        </w:rPr>
        <w:t xml:space="preserve">    </w:t>
      </w:r>
      <w:r>
        <w:rPr>
          <w:rFonts w:ascii="David" w:hAnsi="David"/>
          <w:b/>
          <w:bCs/>
          <w:u w:val="single"/>
          <w:rtl/>
        </w:rPr>
        <w:t>בשעה</w:t>
      </w:r>
      <w:r>
        <w:rPr>
          <w:rFonts w:ascii="David" w:hAnsi="David"/>
          <w:rtl/>
        </w:rPr>
        <w:t>"</w:t>
      </w:r>
    </w:p>
    <w:p w:rsidR="00805A7D" w:rsidRDefault="00805A7D" w:rsidP="00805A7D">
      <w:pPr>
        <w:spacing w:line="360" w:lineRule="auto"/>
        <w:ind w:left="843"/>
        <w:jc w:val="both"/>
        <w:rPr>
          <w:rFonts w:ascii="David" w:hAnsi="David"/>
          <w:rtl/>
        </w:rPr>
      </w:pPr>
    </w:p>
    <w:p w:rsidR="00805A7D" w:rsidRDefault="00805A7D" w:rsidP="00805A7D">
      <w:pPr>
        <w:spacing w:line="360" w:lineRule="auto"/>
        <w:ind w:left="720" w:hanging="585"/>
        <w:jc w:val="both"/>
        <w:rPr>
          <w:rFonts w:ascii="David" w:hAnsi="David"/>
          <w:rtl/>
        </w:rPr>
      </w:pPr>
      <w:r>
        <w:rPr>
          <w:rFonts w:ascii="David" w:hAnsi="David"/>
          <w:rtl/>
        </w:rPr>
        <w:t>20.</w:t>
      </w:r>
      <w:r>
        <w:rPr>
          <w:rFonts w:ascii="David" w:hAnsi="David"/>
          <w:rtl/>
        </w:rPr>
        <w:tab/>
        <w:t>בתצהירו המתייחס למסירה הנטענת ביום 25.12.2022 סימן השליח את האופציה שהמסירה  "</w:t>
      </w:r>
      <w:r>
        <w:rPr>
          <w:rFonts w:ascii="David" w:hAnsi="David"/>
          <w:b/>
          <w:bCs/>
          <w:rtl/>
        </w:rPr>
        <w:t>המסירה</w:t>
      </w:r>
      <w:r>
        <w:rPr>
          <w:rFonts w:ascii="David" w:hAnsi="David"/>
          <w:rtl/>
        </w:rPr>
        <w:t xml:space="preserve"> </w:t>
      </w:r>
      <w:r>
        <w:rPr>
          <w:rFonts w:ascii="David" w:hAnsi="David"/>
          <w:b/>
          <w:bCs/>
          <w:rtl/>
        </w:rPr>
        <w:t xml:space="preserve">נמסרה"  </w:t>
      </w:r>
      <w:r>
        <w:rPr>
          <w:rFonts w:ascii="David" w:hAnsi="David"/>
          <w:rtl/>
        </w:rPr>
        <w:t>"</w:t>
      </w:r>
      <w:r>
        <w:rPr>
          <w:rFonts w:ascii="David" w:hAnsi="David"/>
          <w:b/>
          <w:bCs/>
          <w:rtl/>
        </w:rPr>
        <w:t>לחייב אשר סירב לחתום</w:t>
      </w:r>
      <w:r>
        <w:rPr>
          <w:rFonts w:ascii="David" w:hAnsi="David"/>
          <w:rtl/>
        </w:rPr>
        <w:t>". איך נמסרה המסירה? אין בתצהיר הסבר. גרסה זו שנכונה הייתה לשעתו באוטנטיות שלה עומדת בסתירה לעדותו בבית המשפט בדיון השני.</w:t>
      </w:r>
    </w:p>
    <w:p w:rsidR="00805A7D" w:rsidRDefault="00805A7D" w:rsidP="00805A7D">
      <w:pPr>
        <w:spacing w:line="360" w:lineRule="auto"/>
        <w:ind w:left="720" w:hanging="585"/>
        <w:jc w:val="both"/>
        <w:rPr>
          <w:rFonts w:ascii="David" w:hAnsi="David"/>
          <w:rtl/>
        </w:rPr>
      </w:pPr>
    </w:p>
    <w:p w:rsidR="00805A7D" w:rsidRDefault="00805A7D" w:rsidP="00805A7D">
      <w:pPr>
        <w:spacing w:line="360" w:lineRule="auto"/>
        <w:ind w:left="843"/>
        <w:jc w:val="both"/>
        <w:rPr>
          <w:rFonts w:ascii="David" w:hAnsi="David"/>
          <w:rtl/>
        </w:rPr>
      </w:pPr>
      <w:r>
        <w:rPr>
          <w:rFonts w:ascii="David" w:hAnsi="David"/>
          <w:rtl/>
        </w:rPr>
        <w:t>בעדותו בבית המשפט לא זכר השליח שפגש בנתבעת "</w:t>
      </w:r>
      <w:r>
        <w:rPr>
          <w:rFonts w:ascii="David" w:hAnsi="David"/>
          <w:b/>
          <w:bCs/>
          <w:rtl/>
        </w:rPr>
        <w:t>אמרתי שאני לא זוכר</w:t>
      </w:r>
      <w:r>
        <w:rPr>
          <w:rFonts w:ascii="David" w:hAnsi="David"/>
          <w:rtl/>
        </w:rPr>
        <w:t>" ובפעם נוספת במענה לשאלה "</w:t>
      </w:r>
      <w:r>
        <w:rPr>
          <w:rFonts w:ascii="David" w:hAnsi="David"/>
          <w:b/>
          <w:bCs/>
          <w:rtl/>
        </w:rPr>
        <w:t>אני אמרתי שאני לא זוכר אם פגשתי אותה אבל זוכר ששוחחתי איתה בטלפון</w:t>
      </w:r>
      <w:r>
        <w:rPr>
          <w:rFonts w:ascii="David" w:hAnsi="David"/>
          <w:rtl/>
        </w:rPr>
        <w:t>". משעומת השליח פעם נוספת לצורך הבנת גרסתו נשאל השליח "</w:t>
      </w:r>
      <w:r>
        <w:rPr>
          <w:rFonts w:ascii="David" w:hAnsi="David"/>
          <w:b/>
          <w:bCs/>
          <w:rtl/>
        </w:rPr>
        <w:t>פגשת או לא פגשת</w:t>
      </w:r>
      <w:r>
        <w:rPr>
          <w:rFonts w:ascii="David" w:hAnsi="David"/>
          <w:rtl/>
        </w:rPr>
        <w:t>?" השיב "</w:t>
      </w:r>
      <w:r>
        <w:rPr>
          <w:rFonts w:ascii="David" w:hAnsi="David"/>
          <w:b/>
          <w:bCs/>
          <w:rtl/>
        </w:rPr>
        <w:t>אני לא זוכר, לפי מה שאני מבין מהשיחה אז כן פגשתי. כי כתוב עוד כמה דקות אני מגיע אלייך</w:t>
      </w:r>
      <w:r>
        <w:rPr>
          <w:rFonts w:ascii="David" w:hAnsi="David"/>
          <w:rtl/>
        </w:rPr>
        <w:t>".  השוו עם עדותו באותו דיון קודם לכן "</w:t>
      </w:r>
      <w:r>
        <w:rPr>
          <w:rFonts w:ascii="David" w:hAnsi="David"/>
          <w:b/>
          <w:bCs/>
          <w:rtl/>
        </w:rPr>
        <w:t>ש. פגשת בנתבעת בפעם הראשונה? ת. דיברתי איתה בטלפון לא זוכר אם פגשתי אותה בפעם הראשונה, בפעם השנייה פגשתי אותה</w:t>
      </w:r>
      <w:r>
        <w:rPr>
          <w:rFonts w:ascii="David" w:hAnsi="David"/>
          <w:rtl/>
        </w:rPr>
        <w:t>" (פרוטוקול עמ' 10 ש'23-22).</w:t>
      </w:r>
    </w:p>
    <w:p w:rsidR="00805A7D" w:rsidRDefault="00805A7D" w:rsidP="00805A7D">
      <w:pPr>
        <w:spacing w:line="360" w:lineRule="auto"/>
        <w:ind w:left="843"/>
        <w:jc w:val="both"/>
        <w:rPr>
          <w:rFonts w:ascii="David" w:hAnsi="David"/>
          <w:rtl/>
        </w:rPr>
      </w:pPr>
      <w:r>
        <w:rPr>
          <w:rFonts w:ascii="David" w:hAnsi="David"/>
          <w:rtl/>
        </w:rPr>
        <w:t xml:space="preserve"> </w:t>
      </w:r>
    </w:p>
    <w:p w:rsidR="00805A7D" w:rsidRDefault="00805A7D" w:rsidP="00805A7D">
      <w:pPr>
        <w:spacing w:line="360" w:lineRule="auto"/>
        <w:ind w:left="843"/>
        <w:jc w:val="both"/>
        <w:rPr>
          <w:rFonts w:ascii="David" w:hAnsi="David"/>
          <w:rtl/>
        </w:rPr>
      </w:pPr>
      <w:r>
        <w:rPr>
          <w:rFonts w:ascii="David" w:hAnsi="David"/>
          <w:rtl/>
        </w:rPr>
        <w:t xml:space="preserve">אמור מעתה שהתיאור שהובא בהודעה הראשונה מוטל בספק על פי עדותו של השליח עצמו. יתרה מכך, כפי שיובהר להלן, הוא עומד בניגוד לתצהירו שצורף להודעה הראשונה ולעדותו בבית המשפט. </w:t>
      </w:r>
    </w:p>
    <w:p w:rsidR="00805A7D" w:rsidRDefault="00805A7D" w:rsidP="00805A7D">
      <w:pPr>
        <w:spacing w:line="360" w:lineRule="auto"/>
        <w:ind w:left="843"/>
        <w:jc w:val="both"/>
        <w:rPr>
          <w:rFonts w:ascii="David" w:hAnsi="David"/>
          <w:rtl/>
        </w:rPr>
      </w:pPr>
    </w:p>
    <w:p w:rsidR="00805A7D" w:rsidRDefault="00805A7D" w:rsidP="00805A7D">
      <w:pPr>
        <w:spacing w:line="360" w:lineRule="auto"/>
        <w:ind w:left="843"/>
        <w:jc w:val="both"/>
        <w:rPr>
          <w:rFonts w:ascii="David" w:hAnsi="David"/>
          <w:rtl/>
        </w:rPr>
      </w:pPr>
      <w:r>
        <w:rPr>
          <w:rFonts w:ascii="David" w:hAnsi="David"/>
          <w:rtl/>
        </w:rPr>
        <w:t xml:space="preserve">בעדותו בבית המשפט סיפר השליח שבגלל שהיה ספק במסירה הראשונה הוא נשלח על ידי משרד עורכי הדין לבצע שיחת טלפון נוספת ומסירה נוספת. על פי גרסתו המאוחרת, זו בעדותו בבית המשפט, המעטפה הושארה על סף דלתם רק לאחר ניסיון המסירה השני  מאחר והנתבעים סירבו לחתום. (פרוטוקול עמ' 12 ש' 35-22). </w:t>
      </w:r>
    </w:p>
    <w:p w:rsidR="00805A7D" w:rsidRDefault="00805A7D" w:rsidP="00805A7D">
      <w:pPr>
        <w:spacing w:line="360" w:lineRule="auto"/>
        <w:ind w:left="843"/>
        <w:jc w:val="both"/>
        <w:rPr>
          <w:rFonts w:ascii="David" w:hAnsi="David"/>
          <w:rtl/>
        </w:rPr>
      </w:pPr>
    </w:p>
    <w:p w:rsidR="00805A7D" w:rsidRDefault="00805A7D" w:rsidP="00805A7D">
      <w:pPr>
        <w:spacing w:line="360" w:lineRule="auto"/>
        <w:ind w:left="843"/>
        <w:jc w:val="both"/>
        <w:rPr>
          <w:rFonts w:ascii="David" w:hAnsi="David"/>
          <w:rtl/>
        </w:rPr>
      </w:pPr>
      <w:r>
        <w:rPr>
          <w:rFonts w:ascii="David" w:hAnsi="David"/>
          <w:rtl/>
        </w:rPr>
        <w:t xml:space="preserve">הדברים הובאו לעיל כלשונם.  חובה להדגיש שכעולה מעדותו בבית המשפט עולה גרסה אחרת לתצהירו ולאמור בהודעה הראשונה: על פי גרסה זו הוא ביקר, לכאורה, פעמיים בבית הנתבעים כל פעם לאחר שקיים עמם שיחה טלפונית. כאמור לגרסה מאוחרת זו בבית המשפט אין ביטוי בתצהירו על פיו ניתן פסק הדין. </w:t>
      </w:r>
    </w:p>
    <w:p w:rsidR="00B43414" w:rsidRDefault="00B43414" w:rsidP="00805A7D">
      <w:pPr>
        <w:spacing w:line="360" w:lineRule="auto"/>
        <w:ind w:left="843"/>
        <w:jc w:val="both"/>
        <w:rPr>
          <w:rFonts w:ascii="David" w:hAnsi="David"/>
          <w:rtl/>
        </w:rPr>
      </w:pPr>
    </w:p>
    <w:p w:rsidR="00805A7D" w:rsidRDefault="00805A7D" w:rsidP="00805A7D">
      <w:pPr>
        <w:spacing w:line="360" w:lineRule="auto"/>
        <w:ind w:left="843"/>
        <w:jc w:val="both"/>
        <w:rPr>
          <w:rFonts w:ascii="David" w:hAnsi="David"/>
          <w:rtl/>
        </w:rPr>
      </w:pPr>
      <w:r>
        <w:rPr>
          <w:rFonts w:ascii="David" w:hAnsi="David"/>
          <w:rtl/>
        </w:rPr>
        <w:t>תהייה נוספת העולה מעדותו בבית המשפט ואינה בתצהירו הוא אופן ביצוע המסירה. כאמור, תצהיר המוסר הוא בעל טופס מובנה בו על השליח לסמן את אופן המסירה. הגם שיש מקום מפורש לסמן "</w:t>
      </w:r>
      <w:r>
        <w:rPr>
          <w:rFonts w:ascii="David" w:hAnsi="David"/>
          <w:b/>
          <w:bCs/>
          <w:rtl/>
        </w:rPr>
        <w:t>סרב לקבל והמסמכים הושארו במקום</w:t>
      </w:r>
      <w:r>
        <w:rPr>
          <w:rFonts w:ascii="David" w:hAnsi="David"/>
          <w:rtl/>
        </w:rPr>
        <w:t>" על פי גרסתו בבית המשפט בזמן אמיתי סימן השליח שהמסירה נמסרה "</w:t>
      </w:r>
      <w:r>
        <w:rPr>
          <w:rFonts w:ascii="David" w:hAnsi="David"/>
          <w:b/>
          <w:bCs/>
          <w:rtl/>
        </w:rPr>
        <w:t>לחייב אשר סירב לחתום</w:t>
      </w:r>
      <w:r>
        <w:rPr>
          <w:rFonts w:ascii="David" w:hAnsi="David"/>
          <w:rtl/>
        </w:rPr>
        <w:t xml:space="preserve">"  ויתמה השואל אם כך, אם נכונה גרסתו המאוחרת של השליח מדוע סימן אחרת? סתירה זו הנראית לכאורה שולית לצד השינוי בגרסה מעמידה בספק גדול את ביצוע המסירה על פי דין. </w:t>
      </w:r>
    </w:p>
    <w:p w:rsidR="00805A7D" w:rsidRDefault="00805A7D" w:rsidP="00805A7D">
      <w:pPr>
        <w:spacing w:line="360" w:lineRule="auto"/>
        <w:ind w:left="843"/>
        <w:jc w:val="both"/>
        <w:rPr>
          <w:rFonts w:ascii="David" w:hAnsi="David"/>
          <w:rtl/>
        </w:rPr>
      </w:pPr>
    </w:p>
    <w:p w:rsidR="00805A7D" w:rsidRDefault="00805A7D" w:rsidP="00805A7D">
      <w:pPr>
        <w:spacing w:line="360" w:lineRule="auto"/>
        <w:ind w:left="843" w:hanging="708"/>
        <w:jc w:val="both"/>
        <w:rPr>
          <w:rFonts w:ascii="David" w:hAnsi="David"/>
          <w:rtl/>
        </w:rPr>
      </w:pPr>
      <w:r>
        <w:rPr>
          <w:rFonts w:ascii="David" w:hAnsi="David"/>
          <w:rtl/>
        </w:rPr>
        <w:t>21.</w:t>
      </w:r>
      <w:r>
        <w:rPr>
          <w:rFonts w:ascii="David" w:hAnsi="David"/>
          <w:rtl/>
        </w:rPr>
        <w:tab/>
        <w:t>זאת, ועוד. בהודעה הראשונה וגם בתצהירו של השליח שצורף לה לא נטען שהמעטפה הושארה ליד דלתם של הנתבעים תיאור שעלה בעדותו בבית המשפט בדיון השני. באותה נשימה באותה עדות בבית המשפט לא זכר השליח אם פגש בנתבעת אם לאו, וביסס את עדותו על אותו תמלול ממנו הסיק שאכן היה במקום. גם אם אקבל את חוסר הזיכרון (הגם שזה יעמוד בסתירה לעדותו שלו ביחס למסירה "</w:t>
      </w:r>
      <w:r>
        <w:rPr>
          <w:rFonts w:ascii="David" w:hAnsi="David"/>
          <w:b/>
          <w:bCs/>
          <w:rtl/>
        </w:rPr>
        <w:t>אני זוכר טוב מאוד את המקרה</w:t>
      </w:r>
      <w:r>
        <w:rPr>
          <w:rFonts w:ascii="David" w:hAnsi="David"/>
          <w:rtl/>
        </w:rPr>
        <w:t xml:space="preserve">" – פרוטוקול עמ' 13 ש' 1) אין לפני כל מידע מתי התקיימה אותה שיחה. לתומי סברתי על פי התצהיר שזו התקיימה טרם המסירה היחידה העולה בתצהירו של השליח- מכוחו ניתן פסק הדין  והנה בדיון למדתי מעדותו שהיו פעמיים, לכאורה, ולא ברור מתי התקיימה אותה שיחה בפעם הראשונה או השנייה? האם בעת מסירת פסק הדין?  </w:t>
      </w:r>
    </w:p>
    <w:p w:rsidR="00805A7D" w:rsidRDefault="00805A7D" w:rsidP="00805A7D">
      <w:pPr>
        <w:spacing w:line="360" w:lineRule="auto"/>
        <w:ind w:left="843" w:hanging="708"/>
        <w:jc w:val="both"/>
        <w:rPr>
          <w:rFonts w:ascii="David" w:hAnsi="David"/>
          <w:rtl/>
        </w:rPr>
      </w:pPr>
    </w:p>
    <w:p w:rsidR="00805A7D" w:rsidRDefault="00805A7D" w:rsidP="00805A7D">
      <w:pPr>
        <w:spacing w:line="360" w:lineRule="auto"/>
        <w:ind w:left="843" w:hanging="708"/>
        <w:jc w:val="both"/>
        <w:rPr>
          <w:rFonts w:ascii="David" w:hAnsi="David"/>
          <w:rtl/>
        </w:rPr>
      </w:pPr>
      <w:r>
        <w:rPr>
          <w:rFonts w:ascii="David" w:hAnsi="David"/>
          <w:rtl/>
        </w:rPr>
        <w:tab/>
        <w:t>חוסר הקוהרנטיות בעדות מתחזקת על כן לאור עדותו שמאחר והנתבעים סירבו לחתום הוא התבקש ממשרד עורכי הדין לבקר במקום פעם נוספת ואז השאיר את המעטפה, לכאורה, ליד דלתם של הנתבעים. טענה זו אינה קונה לה אחיזה על פי הגיונם של דברים: ראש וראשון אין זכר לכך בתיעוד עובר לדיון השני שהשליח ביקר בבית הנתבעים פעמיים על מנת למסור את כתב התביעה. תיאור זה גם אינו עולה מדברי ב"כ התובע בהודעה הראשונה.</w:t>
      </w:r>
    </w:p>
    <w:p w:rsidR="00805A7D" w:rsidRDefault="00805A7D" w:rsidP="00805A7D">
      <w:pPr>
        <w:spacing w:line="360" w:lineRule="auto"/>
        <w:ind w:left="843" w:hanging="708"/>
        <w:jc w:val="both"/>
        <w:rPr>
          <w:rFonts w:ascii="David" w:hAnsi="David"/>
          <w:rtl/>
        </w:rPr>
      </w:pPr>
    </w:p>
    <w:p w:rsidR="00805A7D" w:rsidRDefault="00805A7D" w:rsidP="00805A7D">
      <w:pPr>
        <w:spacing w:line="360" w:lineRule="auto"/>
        <w:ind w:left="843" w:hanging="708"/>
        <w:jc w:val="both"/>
        <w:rPr>
          <w:rFonts w:ascii="David" w:hAnsi="David"/>
          <w:rtl/>
        </w:rPr>
      </w:pPr>
      <w:r>
        <w:rPr>
          <w:rFonts w:ascii="David" w:hAnsi="David"/>
          <w:rtl/>
        </w:rPr>
        <w:tab/>
        <w:t>כך או כך, הגם שיכול ויטען הטוען מה חשוב אם התקיימה בפעם הראשונה או השנייה ובלבד שהמסירה בוצעה על כך יושב לו: האחד, לא ברור אם לא מדובר בשיחה על מסירת פסק הדין בחודש 02/2023 והשני, לאור השינוי בגרסאות לא ברור שאכן הגיע כלל לבית הנתבעים, שוחח עמם והם סירבו לחתום.</w:t>
      </w:r>
    </w:p>
    <w:p w:rsidR="00805A7D" w:rsidRDefault="00805A7D" w:rsidP="00805A7D">
      <w:pPr>
        <w:spacing w:line="360" w:lineRule="auto"/>
        <w:ind w:left="843" w:hanging="708"/>
        <w:jc w:val="both"/>
        <w:rPr>
          <w:rFonts w:ascii="David" w:hAnsi="David"/>
          <w:rtl/>
        </w:rPr>
      </w:pPr>
    </w:p>
    <w:p w:rsidR="00805A7D" w:rsidRDefault="00805A7D" w:rsidP="00805A7D">
      <w:pPr>
        <w:spacing w:line="360" w:lineRule="auto"/>
        <w:ind w:left="843" w:hanging="850"/>
        <w:jc w:val="both"/>
        <w:rPr>
          <w:rFonts w:ascii="David" w:hAnsi="David"/>
          <w:rtl/>
        </w:rPr>
      </w:pPr>
      <w:r>
        <w:rPr>
          <w:rFonts w:ascii="David" w:hAnsi="David"/>
          <w:rtl/>
        </w:rPr>
        <w:t>22.</w:t>
      </w:r>
      <w:r>
        <w:rPr>
          <w:rFonts w:ascii="David" w:hAnsi="David"/>
          <w:rtl/>
        </w:rPr>
        <w:tab/>
        <w:t xml:space="preserve">בהקשרן של הגרסאות המשתנות של השליח לא ביקש התובע להביא עדות הזמה של התהיות על דרך חקירת הנתבעת למשל וכך השליח גם לא נשאל  דבר בחקירה חוזרת (פרוטוקול עמ' 14 ש' 26).  </w:t>
      </w:r>
    </w:p>
    <w:p w:rsidR="00B43414" w:rsidRDefault="00B43414" w:rsidP="00805A7D">
      <w:pPr>
        <w:spacing w:line="360" w:lineRule="auto"/>
        <w:ind w:left="843" w:hanging="850"/>
        <w:jc w:val="both"/>
        <w:rPr>
          <w:rFonts w:ascii="David" w:hAnsi="David"/>
          <w:rtl/>
        </w:rPr>
      </w:pPr>
    </w:p>
    <w:p w:rsidR="00805A7D" w:rsidRDefault="00805A7D" w:rsidP="00805A7D">
      <w:pPr>
        <w:spacing w:line="360" w:lineRule="auto"/>
        <w:ind w:left="713" w:hanging="720"/>
        <w:jc w:val="both"/>
        <w:rPr>
          <w:rFonts w:ascii="David" w:hAnsi="David"/>
          <w:rtl/>
        </w:rPr>
      </w:pPr>
      <w:r>
        <w:rPr>
          <w:rFonts w:ascii="David" w:hAnsi="David"/>
          <w:rtl/>
        </w:rPr>
        <w:t>23.</w:t>
      </w:r>
      <w:r>
        <w:rPr>
          <w:rFonts w:ascii="David" w:hAnsi="David"/>
          <w:rtl/>
        </w:rPr>
        <w:tab/>
        <w:t xml:space="preserve">סיכום עד כאן מלמד על קיומן של שתי גרסאות של המסירה של כתב התביעה: האחת, זו שהוגשה במסגרת ההודעה הראשונה, לפיה שוחח השליח עם הנתבעת, פגש בה בביתה וזו סירבה לחתום על המסירה. עם זאת מסתבר שהשליח לא זכר כלל אם פגש בנתבעת, שבכלל היו שני ניסיונות מסירה שאינם מקבלים ביטוי לא בהודעה הראשונה וחמור מכך לא בתצהיר המוסר  או אישור המסירה. המסירה הונחה על סף ביתם בניגוד לאמור בתצהיר שהביא למתן פסק הדין שהסירוב היה בפועל, ומנגד כעולה מהעדות שהסירוב, לכאורה, הוא במשתמע על פי שיחת טלפון.   </w:t>
      </w:r>
    </w:p>
    <w:p w:rsidR="00805A7D" w:rsidRDefault="00805A7D" w:rsidP="00805A7D">
      <w:pPr>
        <w:spacing w:line="360" w:lineRule="auto"/>
        <w:ind w:left="713" w:hanging="720"/>
        <w:jc w:val="both"/>
        <w:rPr>
          <w:rFonts w:ascii="David" w:hAnsi="David"/>
          <w:rtl/>
        </w:rPr>
      </w:pPr>
    </w:p>
    <w:p w:rsidR="00805A7D" w:rsidRDefault="00805A7D" w:rsidP="00805A7D">
      <w:pPr>
        <w:spacing w:line="360" w:lineRule="auto"/>
        <w:ind w:left="713"/>
        <w:jc w:val="both"/>
        <w:rPr>
          <w:rFonts w:ascii="David" w:hAnsi="David"/>
          <w:rtl/>
        </w:rPr>
      </w:pPr>
      <w:r>
        <w:rPr>
          <w:rFonts w:ascii="David" w:hAnsi="David"/>
          <w:rtl/>
        </w:rPr>
        <w:t xml:space="preserve">גרסתו של השליח מעלה תהייה נוספת. אם ביקר בבית הנתבעים פעמיים התיאור המדויק  בתצהירו על שעת המסירה ביום המסירה, לכאורה, לאיזו פעם הוא מתייחס. יוזכר שבטופס </w:t>
      </w:r>
      <w:r>
        <w:rPr>
          <w:rFonts w:ascii="David" w:hAnsi="David"/>
          <w:rtl/>
        </w:rPr>
        <w:lastRenderedPageBreak/>
        <w:t>התצהיר המובנה יש מקום מיוחד לסמן את מועדי הביקור. אין בתצהיר המוסר כל עדות לכך על פי הטופס המובנה.</w:t>
      </w:r>
    </w:p>
    <w:p w:rsidR="00805A7D" w:rsidRDefault="00805A7D" w:rsidP="00805A7D">
      <w:pPr>
        <w:spacing w:line="360" w:lineRule="auto"/>
        <w:ind w:left="713"/>
        <w:jc w:val="both"/>
        <w:rPr>
          <w:rFonts w:ascii="David" w:hAnsi="David"/>
          <w:rtl/>
        </w:rPr>
      </w:pPr>
    </w:p>
    <w:p w:rsidR="00805A7D" w:rsidRDefault="00805A7D" w:rsidP="00805A7D">
      <w:pPr>
        <w:spacing w:line="360" w:lineRule="auto"/>
        <w:ind w:left="713"/>
        <w:jc w:val="both"/>
        <w:rPr>
          <w:rFonts w:ascii="David" w:hAnsi="David"/>
          <w:rtl/>
        </w:rPr>
      </w:pPr>
      <w:r>
        <w:rPr>
          <w:rFonts w:ascii="David" w:hAnsi="David"/>
          <w:rtl/>
        </w:rPr>
        <w:t xml:space="preserve">משעה שמדובר בשליח מנוסה על פי עדותו (פרוטוקול עמ' 12 ש' 4-1) לא ברור מדוע נדרשה הפעם השנייה למסירה. לאור הסירוב והשארת המעטפה בשל הסירוב, כאורה, כעולה מההודעה הראשונה, התצהיר ואישור המסירה הנלווים לה. מה ההבדל בין הפעם הראשונה לשנייה: מדוע לא הושארה המעטפה כבר בפעם הראשונה לאור הסירוב הנטען? מדוע היה  צריך לחזור פעם נוספת לביצוע המסירה. ככל שכך, מתי הייתה הפעם השנייה? האם באותו יום? באותה שעה? האם התצהיר המעיד על שעת המסירה המדויקת בשעה 14:20 היא ביחס לפעם הראשונה, השנייה?  אם הביקור השני נערך באותו יום (דבר שלא עלה ולא נטען כי על פי התצהיר לא הוזכר כלל שהיו פעמיים) מה משמעות התצהיר שלא מתאר את העובדות על פי השליח עצמו?  </w:t>
      </w:r>
    </w:p>
    <w:p w:rsidR="00805A7D" w:rsidRDefault="00805A7D" w:rsidP="00805A7D">
      <w:pPr>
        <w:spacing w:line="360" w:lineRule="auto"/>
        <w:ind w:left="713"/>
        <w:jc w:val="both"/>
        <w:rPr>
          <w:rFonts w:ascii="David" w:hAnsi="David"/>
          <w:rtl/>
        </w:rPr>
      </w:pPr>
    </w:p>
    <w:p w:rsidR="00805A7D" w:rsidRDefault="00805A7D" w:rsidP="00805A7D">
      <w:pPr>
        <w:spacing w:line="360" w:lineRule="auto"/>
        <w:ind w:left="-7"/>
        <w:jc w:val="both"/>
        <w:rPr>
          <w:rFonts w:ascii="David" w:hAnsi="David"/>
          <w:rtl/>
        </w:rPr>
      </w:pPr>
      <w:r>
        <w:rPr>
          <w:rFonts w:ascii="David" w:hAnsi="David"/>
          <w:rtl/>
        </w:rPr>
        <w:t>24.</w:t>
      </w:r>
      <w:r>
        <w:rPr>
          <w:rFonts w:ascii="David" w:hAnsi="David"/>
          <w:rtl/>
        </w:rPr>
        <w:tab/>
        <w:t>מעדותו של השליח עולה תמונה מכוחה לא ניתן לקבוע שהייתה מסירה כדין.</w:t>
      </w:r>
    </w:p>
    <w:p w:rsidR="00805A7D" w:rsidRDefault="00805A7D" w:rsidP="00805A7D">
      <w:pPr>
        <w:spacing w:line="360" w:lineRule="auto"/>
        <w:ind w:left="-7"/>
        <w:jc w:val="both"/>
        <w:rPr>
          <w:rFonts w:ascii="David" w:hAnsi="David"/>
          <w:rtl/>
        </w:rPr>
      </w:pPr>
    </w:p>
    <w:p w:rsidR="00805A7D" w:rsidRDefault="00805A7D" w:rsidP="00805A7D">
      <w:pPr>
        <w:spacing w:line="360" w:lineRule="auto"/>
        <w:ind w:left="713" w:hanging="720"/>
        <w:jc w:val="both"/>
        <w:rPr>
          <w:rFonts w:ascii="David" w:hAnsi="David"/>
          <w:rtl/>
        </w:rPr>
      </w:pPr>
      <w:r>
        <w:rPr>
          <w:rFonts w:ascii="David" w:hAnsi="David"/>
          <w:rtl/>
        </w:rPr>
        <w:t>25.</w:t>
      </w:r>
      <w:r>
        <w:rPr>
          <w:rFonts w:ascii="David" w:hAnsi="David"/>
          <w:rtl/>
        </w:rPr>
        <w:tab/>
        <w:t>יוער שאכן הייתה מסירה שנייה. זו הייתה של פסק  הדין לאחר נתינתו וכנטען בהודעה השנייה  ועל פי אישור מסירה שצורף כנספח להודעה על המצאה זו בוצעה ביום 15.2.2023. גם בתצהיר שצורף להודעה השנייה אין זכר לכך שהמעטפה הכוללת את פסק הדין הושארה על דלתם של הנתבעים שכן ב"כ התובע ציין שהנתבעים "...</w:t>
      </w:r>
      <w:r>
        <w:rPr>
          <w:rFonts w:ascii="David" w:hAnsi="David"/>
          <w:b/>
          <w:bCs/>
          <w:rtl/>
        </w:rPr>
        <w:t>אסרו על השליח להתקרב לדלת ביתם</w:t>
      </w:r>
      <w:r>
        <w:rPr>
          <w:rFonts w:ascii="David" w:hAnsi="David"/>
          <w:rtl/>
        </w:rPr>
        <w:t xml:space="preserve">". אם כן כיצד בוצעה המסירה? האם על דרך של הודעה טלפונית שיש לשליח מעטפה למסור להם. זו לא המצאה כדין, אך אין זה מעניינה של החלטה זו  הקשורה במסירת כתב התביעה.  אם כך מעלה היא תמיהה על הרלוונטיות של התיאור בדבר המסירה של פסק הדין, ככל שכך, וכיצד.   </w:t>
      </w:r>
    </w:p>
    <w:p w:rsidR="00805A7D" w:rsidRDefault="00805A7D" w:rsidP="00805A7D">
      <w:pPr>
        <w:spacing w:line="360" w:lineRule="auto"/>
        <w:ind w:left="713" w:hanging="720"/>
        <w:jc w:val="both"/>
        <w:rPr>
          <w:rFonts w:ascii="David" w:hAnsi="David"/>
          <w:rtl/>
        </w:rPr>
      </w:pPr>
    </w:p>
    <w:p w:rsidR="00805A7D" w:rsidRDefault="00805A7D" w:rsidP="00805A7D">
      <w:pPr>
        <w:spacing w:line="360" w:lineRule="auto"/>
        <w:ind w:left="713" w:hanging="720"/>
        <w:jc w:val="both"/>
        <w:rPr>
          <w:rFonts w:ascii="David" w:hAnsi="David"/>
          <w:rtl/>
        </w:rPr>
      </w:pPr>
      <w:r>
        <w:rPr>
          <w:rFonts w:ascii="David" w:hAnsi="David"/>
          <w:rtl/>
        </w:rPr>
        <w:t>26.</w:t>
      </w:r>
      <w:r>
        <w:rPr>
          <w:rFonts w:ascii="David" w:hAnsi="David"/>
          <w:rtl/>
        </w:rPr>
        <w:tab/>
        <w:t>בתגובתו לבקשה לביטול פסק הדין טען התובע שעל פי מערכת נט המשפט ידעו הנתבעים על התביעה. הסברו של ב"כ הנתבעים למועד הצטרפותו לתיק נתנה מענה לטענה זו.</w:t>
      </w:r>
    </w:p>
    <w:p w:rsidR="00805A7D" w:rsidRDefault="00805A7D" w:rsidP="00805A7D">
      <w:pPr>
        <w:spacing w:line="360" w:lineRule="auto"/>
        <w:ind w:left="713" w:hanging="720"/>
        <w:jc w:val="both"/>
        <w:rPr>
          <w:rFonts w:ascii="David" w:hAnsi="David"/>
          <w:rtl/>
        </w:rPr>
      </w:pPr>
    </w:p>
    <w:p w:rsidR="00805A7D" w:rsidRDefault="00805A7D" w:rsidP="00805A7D">
      <w:pPr>
        <w:spacing w:line="360" w:lineRule="auto"/>
        <w:ind w:left="713" w:hanging="720"/>
        <w:jc w:val="both"/>
        <w:rPr>
          <w:rFonts w:ascii="David" w:hAnsi="David"/>
          <w:rtl/>
        </w:rPr>
      </w:pPr>
      <w:r>
        <w:rPr>
          <w:rFonts w:ascii="David" w:hAnsi="David"/>
          <w:rtl/>
        </w:rPr>
        <w:tab/>
        <w:t xml:space="preserve">בהקשר זה יובהר וכפי שקבעתי בהחלטה על ביטול פסק הדין ראוי היה ונכון היה לבצע את המסירה לעוה"ד אשר ייצג את הנתבעים בהליכים קודמים בין הצדדים. (ראו </w:t>
      </w:r>
      <w:r>
        <w:rPr>
          <w:rFonts w:ascii="David" w:hAnsi="David"/>
          <w:u w:val="single"/>
          <w:rtl/>
        </w:rPr>
        <w:t xml:space="preserve">ע"א 23/83 </w:t>
      </w:r>
      <w:r>
        <w:rPr>
          <w:rFonts w:ascii="David" w:hAnsi="David"/>
          <w:rtl/>
        </w:rPr>
        <w:t xml:space="preserve"> סוזן </w:t>
      </w:r>
      <w:r>
        <w:rPr>
          <w:rFonts w:ascii="David" w:hAnsi="David"/>
          <w:b/>
          <w:bCs/>
          <w:rtl/>
        </w:rPr>
        <w:t>ריטה יוחימק</w:t>
      </w:r>
      <w:r>
        <w:rPr>
          <w:rFonts w:ascii="David" w:hAnsi="David"/>
          <w:rtl/>
        </w:rPr>
        <w:t xml:space="preserve"> נ' </w:t>
      </w:r>
      <w:r>
        <w:rPr>
          <w:rFonts w:ascii="David" w:hAnsi="David"/>
          <w:b/>
          <w:bCs/>
          <w:rtl/>
        </w:rPr>
        <w:t>תרז קדם</w:t>
      </w:r>
      <w:r>
        <w:rPr>
          <w:rFonts w:ascii="David" w:hAnsi="David"/>
          <w:rtl/>
        </w:rPr>
        <w:t xml:space="preserve"> פ"ד לח(4),318 (18.12.1984); וכן </w:t>
      </w:r>
      <w:r>
        <w:rPr>
          <w:rFonts w:ascii="David" w:hAnsi="David"/>
          <w:u w:val="single"/>
          <w:rtl/>
        </w:rPr>
        <w:t>ה"פ (ים)</w:t>
      </w:r>
      <w:r>
        <w:rPr>
          <w:rFonts w:ascii="David" w:hAnsi="David"/>
          <w:rtl/>
        </w:rPr>
        <w:t xml:space="preserve"> </w:t>
      </w:r>
      <w:r>
        <w:rPr>
          <w:rFonts w:ascii="David" w:hAnsi="David"/>
          <w:u w:val="single"/>
          <w:rtl/>
        </w:rPr>
        <w:t xml:space="preserve">4190/05 </w:t>
      </w:r>
      <w:r>
        <w:rPr>
          <w:rFonts w:ascii="David" w:hAnsi="David"/>
          <w:rtl/>
        </w:rPr>
        <w:t xml:space="preserve">(6.10.2005)) בכך, היו מושגות שתי מטרות, קיצור ההליך, חיסכון בזמן שיפוטי שהוא זמנו של ציבור המתדיינים וקידום ענייני ומהותי של תביעת התובע.  </w:t>
      </w:r>
    </w:p>
    <w:p w:rsidR="00805A7D" w:rsidRDefault="00805A7D" w:rsidP="00805A7D">
      <w:pPr>
        <w:spacing w:line="360" w:lineRule="auto"/>
        <w:ind w:left="713" w:hanging="720"/>
        <w:jc w:val="both"/>
        <w:rPr>
          <w:rFonts w:ascii="David" w:hAnsi="David"/>
          <w:rtl/>
        </w:rPr>
      </w:pPr>
    </w:p>
    <w:p w:rsidR="00B43414" w:rsidRDefault="00B43414" w:rsidP="00805A7D">
      <w:pPr>
        <w:spacing w:line="360" w:lineRule="auto"/>
        <w:ind w:left="713" w:hanging="720"/>
        <w:jc w:val="both"/>
        <w:rPr>
          <w:rFonts w:ascii="David" w:hAnsi="David"/>
          <w:rtl/>
        </w:rPr>
      </w:pPr>
    </w:p>
    <w:p w:rsidR="00B43414" w:rsidRDefault="00B43414" w:rsidP="00805A7D">
      <w:pPr>
        <w:spacing w:line="360" w:lineRule="auto"/>
        <w:ind w:left="713" w:hanging="720"/>
        <w:jc w:val="both"/>
        <w:rPr>
          <w:rFonts w:ascii="David" w:hAnsi="David"/>
          <w:rtl/>
        </w:rPr>
      </w:pPr>
    </w:p>
    <w:p w:rsidR="00B43414" w:rsidRDefault="00B43414" w:rsidP="00805A7D">
      <w:pPr>
        <w:spacing w:line="360" w:lineRule="auto"/>
        <w:ind w:left="713" w:hanging="720"/>
        <w:jc w:val="both"/>
        <w:rPr>
          <w:rFonts w:ascii="David" w:hAnsi="David"/>
          <w:rtl/>
        </w:rPr>
      </w:pPr>
    </w:p>
    <w:p w:rsidR="00B43414" w:rsidRDefault="00B43414" w:rsidP="00805A7D">
      <w:pPr>
        <w:spacing w:line="360" w:lineRule="auto"/>
        <w:ind w:left="713" w:hanging="720"/>
        <w:jc w:val="both"/>
        <w:rPr>
          <w:rFonts w:ascii="David" w:hAnsi="David"/>
          <w:rtl/>
        </w:rPr>
      </w:pPr>
    </w:p>
    <w:p w:rsidR="00805A7D" w:rsidRDefault="00805A7D" w:rsidP="00805A7D">
      <w:pPr>
        <w:spacing w:line="360" w:lineRule="auto"/>
        <w:ind w:left="713" w:hanging="720"/>
        <w:jc w:val="both"/>
        <w:rPr>
          <w:rFonts w:ascii="David" w:hAnsi="David"/>
          <w:b/>
          <w:bCs/>
          <w:sz w:val="26"/>
          <w:szCs w:val="26"/>
          <w:rtl/>
        </w:rPr>
      </w:pPr>
      <w:r>
        <w:rPr>
          <w:rFonts w:ascii="David" w:hAnsi="David"/>
          <w:b/>
          <w:bCs/>
          <w:sz w:val="26"/>
          <w:szCs w:val="26"/>
          <w:u w:val="single"/>
          <w:rtl/>
        </w:rPr>
        <w:lastRenderedPageBreak/>
        <w:t>אחרית דבר</w:t>
      </w:r>
      <w:r>
        <w:rPr>
          <w:rFonts w:ascii="David" w:hAnsi="David"/>
          <w:b/>
          <w:bCs/>
          <w:sz w:val="26"/>
          <w:szCs w:val="26"/>
          <w:rtl/>
        </w:rPr>
        <w:t>:</w:t>
      </w:r>
    </w:p>
    <w:p w:rsidR="00805A7D" w:rsidRDefault="00805A7D" w:rsidP="00805A7D">
      <w:pPr>
        <w:spacing w:line="360" w:lineRule="auto"/>
        <w:ind w:left="713" w:hanging="720"/>
        <w:jc w:val="both"/>
        <w:rPr>
          <w:rFonts w:ascii="David" w:hAnsi="David"/>
          <w:b/>
          <w:bCs/>
          <w:sz w:val="26"/>
          <w:szCs w:val="26"/>
          <w:rtl/>
        </w:rPr>
      </w:pPr>
    </w:p>
    <w:p w:rsidR="00805A7D" w:rsidRDefault="00805A7D" w:rsidP="00805A7D">
      <w:pPr>
        <w:spacing w:line="360" w:lineRule="auto"/>
        <w:ind w:left="713" w:hanging="720"/>
        <w:jc w:val="both"/>
        <w:rPr>
          <w:rFonts w:ascii="David" w:hAnsi="David"/>
          <w:rtl/>
        </w:rPr>
      </w:pPr>
      <w:r>
        <w:rPr>
          <w:rFonts w:ascii="David" w:hAnsi="David"/>
          <w:rtl/>
        </w:rPr>
        <w:t>27.</w:t>
      </w:r>
      <w:r>
        <w:rPr>
          <w:rFonts w:ascii="David" w:hAnsi="David"/>
          <w:rtl/>
        </w:rPr>
        <w:tab/>
        <w:t>לאור כל האמור לעיל ובשים לב לעובדות שהוצגו על ידי התובע  בהודעתו ובתצהירו שהיוו את הבסיס למתן פסק הדין בהעדר הגנה, אני קובע שלא הוכח שבוצעה מסירה כדין של כתב התביעה. משכך חובת ביטול פסק הדין היא מחובת הצדק.</w:t>
      </w:r>
    </w:p>
    <w:p w:rsidR="00805A7D" w:rsidRDefault="00805A7D" w:rsidP="00805A7D">
      <w:pPr>
        <w:spacing w:line="360" w:lineRule="auto"/>
        <w:ind w:left="713" w:hanging="720"/>
        <w:jc w:val="both"/>
        <w:rPr>
          <w:rFonts w:ascii="David" w:hAnsi="David"/>
          <w:rtl/>
        </w:rPr>
      </w:pPr>
    </w:p>
    <w:p w:rsidR="00805A7D" w:rsidRDefault="00805A7D" w:rsidP="00805A7D">
      <w:pPr>
        <w:spacing w:line="360" w:lineRule="auto"/>
        <w:ind w:left="713"/>
        <w:jc w:val="both"/>
        <w:rPr>
          <w:rFonts w:ascii="David" w:hAnsi="David"/>
          <w:rtl/>
        </w:rPr>
      </w:pPr>
      <w:r>
        <w:rPr>
          <w:rFonts w:ascii="David" w:hAnsi="David"/>
          <w:rtl/>
        </w:rPr>
        <w:t>בהסתמך על בסיס הפסיקה הרלוונטית שהובאה בחלקה לעיל, עמדתו המפורשת של המחוקק  בדרך המלך בהחלטה המורה על ביטול פסק הדין שניתן בהעדר הגנה, בשים לב לקביעתי שמדובר בביטול פסק הדין מחובת הצדק פטור אני מלדון ולהתייחס לשאלות הקשורות בסיכויי ההגנה-טיעוני ההגנה של הנתבעים.</w:t>
      </w:r>
    </w:p>
    <w:p w:rsidR="00805A7D" w:rsidRDefault="00805A7D" w:rsidP="00805A7D">
      <w:pPr>
        <w:spacing w:line="360" w:lineRule="auto"/>
        <w:ind w:left="713"/>
        <w:jc w:val="both"/>
        <w:rPr>
          <w:rFonts w:ascii="David" w:hAnsi="David"/>
          <w:rtl/>
        </w:rPr>
      </w:pPr>
    </w:p>
    <w:p w:rsidR="00805A7D" w:rsidRDefault="00805A7D" w:rsidP="00805A7D">
      <w:pPr>
        <w:spacing w:line="360" w:lineRule="auto"/>
        <w:ind w:left="713" w:hanging="720"/>
        <w:jc w:val="both"/>
        <w:rPr>
          <w:rFonts w:ascii="David" w:hAnsi="David"/>
          <w:rtl/>
        </w:rPr>
      </w:pPr>
      <w:r>
        <w:rPr>
          <w:rFonts w:ascii="David" w:hAnsi="David"/>
          <w:rtl/>
        </w:rPr>
        <w:t>29.</w:t>
      </w:r>
      <w:r>
        <w:rPr>
          <w:rFonts w:ascii="David" w:hAnsi="David"/>
          <w:rtl/>
        </w:rPr>
        <w:tab/>
        <w:t>פסק הדין שניתן ביום 14.2.2023 , בהעדר הגנה והוא מושא החלטה זו בטל.</w:t>
      </w:r>
    </w:p>
    <w:p w:rsidR="00805A7D" w:rsidRDefault="00805A7D" w:rsidP="00805A7D">
      <w:pPr>
        <w:spacing w:line="360" w:lineRule="auto"/>
        <w:ind w:left="713" w:hanging="720"/>
        <w:jc w:val="both"/>
        <w:rPr>
          <w:rFonts w:ascii="David" w:hAnsi="David"/>
          <w:rtl/>
        </w:rPr>
      </w:pPr>
    </w:p>
    <w:p w:rsidR="00805A7D" w:rsidRDefault="00805A7D" w:rsidP="00805A7D">
      <w:pPr>
        <w:spacing w:line="360" w:lineRule="auto"/>
        <w:ind w:left="713" w:hanging="720"/>
        <w:jc w:val="both"/>
        <w:rPr>
          <w:rFonts w:ascii="David" w:hAnsi="David"/>
          <w:rtl/>
        </w:rPr>
      </w:pPr>
      <w:r>
        <w:rPr>
          <w:rFonts w:ascii="David" w:hAnsi="David"/>
          <w:rtl/>
        </w:rPr>
        <w:t>30.</w:t>
      </w:r>
      <w:r>
        <w:rPr>
          <w:rFonts w:ascii="David" w:hAnsi="David"/>
          <w:rtl/>
        </w:rPr>
        <w:tab/>
        <w:t>התובע ישלם את הוצאות הנתבעים בסך 3,500 ₪ .</w:t>
      </w:r>
    </w:p>
    <w:p w:rsidR="00805A7D" w:rsidRDefault="00805A7D" w:rsidP="00805A7D">
      <w:pPr>
        <w:spacing w:line="360" w:lineRule="auto"/>
        <w:ind w:left="713" w:hanging="720"/>
        <w:jc w:val="both"/>
        <w:rPr>
          <w:rFonts w:ascii="David" w:hAnsi="David"/>
          <w:rtl/>
        </w:rPr>
      </w:pPr>
    </w:p>
    <w:p w:rsidR="00805A7D" w:rsidRDefault="00805A7D" w:rsidP="00805A7D">
      <w:pPr>
        <w:spacing w:line="360" w:lineRule="auto"/>
        <w:ind w:left="713" w:hanging="720"/>
        <w:jc w:val="both"/>
        <w:rPr>
          <w:rFonts w:ascii="David" w:hAnsi="David"/>
          <w:rtl/>
        </w:rPr>
      </w:pPr>
      <w:r>
        <w:rPr>
          <w:rFonts w:ascii="David" w:hAnsi="David"/>
          <w:rtl/>
        </w:rPr>
        <w:t>31.</w:t>
      </w:r>
      <w:r>
        <w:rPr>
          <w:rFonts w:ascii="David" w:hAnsi="David"/>
          <w:rtl/>
        </w:rPr>
        <w:tab/>
        <w:t>מתיר פרסום ההחלטה בהשמטת פרטים מזהים.</w:t>
      </w:r>
    </w:p>
    <w:p w:rsidR="00805A7D" w:rsidRDefault="00805A7D" w:rsidP="00805A7D">
      <w:pPr>
        <w:spacing w:line="360" w:lineRule="auto"/>
        <w:ind w:left="713" w:hanging="720"/>
        <w:jc w:val="both"/>
        <w:rPr>
          <w:rFonts w:ascii="David" w:hAnsi="David"/>
          <w:rtl/>
        </w:rPr>
      </w:pPr>
    </w:p>
    <w:p w:rsidR="00805A7D" w:rsidRDefault="00805A7D" w:rsidP="00805A7D">
      <w:pPr>
        <w:spacing w:line="360" w:lineRule="auto"/>
        <w:ind w:left="713" w:hanging="720"/>
        <w:jc w:val="both"/>
        <w:rPr>
          <w:rFonts w:ascii="David" w:hAnsi="David"/>
          <w:rtl/>
        </w:rPr>
      </w:pPr>
      <w:r>
        <w:rPr>
          <w:rFonts w:ascii="David" w:hAnsi="David"/>
          <w:rtl/>
        </w:rPr>
        <w:t>32.</w:t>
      </w:r>
      <w:r>
        <w:rPr>
          <w:rFonts w:ascii="David" w:hAnsi="David"/>
          <w:rtl/>
        </w:rPr>
        <w:tab/>
        <w:t>תואיל המזכירות לשלוח ההחלטה לצדדים ולהניח בסל המשימות של כבוד השופט סמי ישראל למתן הנחיות להמשך ההתנהלות בתיק.</w:t>
      </w:r>
    </w:p>
    <w:p w:rsidR="00805A7D" w:rsidRDefault="00805A7D" w:rsidP="00805A7D">
      <w:pPr>
        <w:spacing w:line="360" w:lineRule="auto"/>
        <w:ind w:left="843"/>
        <w:jc w:val="both"/>
        <w:rPr>
          <w:rFonts w:ascii="David" w:hAnsi="David"/>
          <w:rtl/>
        </w:rPr>
      </w:pPr>
    </w:p>
    <w:p w:rsidR="00805A7D" w:rsidRDefault="00805A7D" w:rsidP="00805A7D">
      <w:pPr>
        <w:spacing w:line="360" w:lineRule="auto"/>
        <w:rPr>
          <w:rFonts w:ascii="Arial" w:hAnsi="Arial"/>
          <w:noProof w:val="0"/>
          <w:rtl/>
        </w:rPr>
      </w:pPr>
      <w:r>
        <w:rPr>
          <w:rFonts w:ascii="David" w:hAnsi="David"/>
          <w:rtl/>
        </w:rPr>
        <w:t xml:space="preserve"> </w:t>
      </w: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כ' כסלו תשפ"ה</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דצמבר 2024</w:t>
          </w:r>
        </w:sdtContent>
      </w:sdt>
      <w:r>
        <w:rPr>
          <w:rFonts w:ascii="Arial" w:hAnsi="Arial"/>
          <w:noProof w:val="0"/>
          <w:rtl/>
        </w:rPr>
        <w:t>, בהעדר הצדדים.</w:t>
      </w:r>
    </w:p>
    <w:p w:rsidR="00805A7D" w:rsidRDefault="00CA0C97" w:rsidP="00805A7D">
      <w:pPr>
        <w:tabs>
          <w:tab w:val="left" w:pos="2553"/>
        </w:tabs>
        <w:spacing w:line="360" w:lineRule="auto"/>
        <w:ind w:left="5040"/>
        <w:rPr>
          <w:rtl/>
        </w:rPr>
      </w:pPr>
      <w:sdt>
        <w:sdtPr>
          <w:rPr>
            <w:rtl/>
          </w:rPr>
          <w:alias w:val="2045"/>
          <w:tag w:val="2045"/>
          <w:id w:val="740689340"/>
          <w:placeholder>
            <w:docPart w:val="C734A9F9612E44EC952426071B9EF578"/>
          </w:placeholder>
          <w:showingPlcHdr/>
          <w:text w:multiLine="1"/>
        </w:sdtPr>
        <w:sdtEndPr/>
        <w:sdtContent>
          <w:r w:rsidR="00805A7D">
            <w:rPr>
              <w:rtl/>
            </w:rPr>
            <w:t xml:space="preserve">     </w:t>
          </w:r>
        </w:sdtContent>
      </w:sdt>
    </w:p>
    <w:p w:rsidR="00805A7D" w:rsidRDefault="00805A7D" w:rsidP="00805A7D">
      <w:pPr>
        <w:tabs>
          <w:tab w:val="left" w:pos="2553"/>
        </w:tabs>
        <w:spacing w:line="360" w:lineRule="auto"/>
        <w:rPr>
          <w:rtl/>
        </w:rPr>
      </w:pPr>
      <w:r>
        <w:rPr>
          <w:rtl/>
        </w:rPr>
        <w:tab/>
      </w:r>
      <w:r>
        <w:rPr>
          <w:rtl/>
        </w:rPr>
        <w:tab/>
      </w:r>
      <w:r>
        <w:rPr>
          <w:rtl/>
        </w:rPr>
        <w:tab/>
      </w:r>
      <w:r>
        <w:rPr>
          <w:rtl/>
        </w:rPr>
        <w:tab/>
        <w:t xml:space="preserve">        </w:t>
      </w:r>
      <w:sdt>
        <w:sdtPr>
          <w:rPr>
            <w:rtl/>
          </w:rPr>
          <w:alias w:val="MergeField"/>
          <w:tag w:val="1237"/>
          <w:id w:val="1402410026"/>
        </w:sdtPr>
        <w:sdtEndPr/>
        <w:sdtContent>
          <w:r>
            <w:drawing>
              <wp:inline distT="0" distB="0" distL="0" distR="0">
                <wp:extent cx="1685925" cy="1009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805A7D" w:rsidRDefault="00805A7D" w:rsidP="00805A7D">
      <w:pPr>
        <w:tabs>
          <w:tab w:val="left" w:pos="2553"/>
        </w:tabs>
        <w:spacing w:line="360" w:lineRule="auto"/>
        <w:rPr>
          <w:rFonts w:ascii="Arial" w:hAnsi="Arial"/>
          <w:noProof w:val="0"/>
        </w:rPr>
      </w:pPr>
    </w:p>
    <w:p w:rsidR="00805A7D" w:rsidRDefault="00805A7D"/>
    <w:sectPr w:rsidR="00805A7D" w:rsidSect="00DD2491">
      <w:pgSz w:w="12240" w:h="15840"/>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F2F2E3AA"/>
    <w:lvl w:ilvl="0" w:tplc="7360B4B2">
      <w:start w:val="1"/>
      <w:numFmt w:val="decimal"/>
      <w:pStyle w:val="Ruller4"/>
      <w:lvlText w:val="%1."/>
      <w:lvlJc w:val="left"/>
      <w:pPr>
        <w:tabs>
          <w:tab w:val="num" w:pos="1627"/>
        </w:tabs>
        <w:ind w:left="720" w:firstLine="0"/>
      </w:pPr>
      <w:rPr>
        <w:lang w:val="en-US"/>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636"/>
    <w:rsid w:val="000A4A81"/>
    <w:rsid w:val="00805A7D"/>
    <w:rsid w:val="00912B11"/>
    <w:rsid w:val="00B43414"/>
    <w:rsid w:val="00C83FC7"/>
    <w:rsid w:val="00CA0C97"/>
    <w:rsid w:val="00D52136"/>
    <w:rsid w:val="00DD2491"/>
    <w:rsid w:val="00E02636"/>
    <w:rsid w:val="00E816F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ED8263-6B05-4308-92EA-BA4B8333D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5A7D"/>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2136"/>
    <w:pPr>
      <w:ind w:left="720"/>
      <w:contextualSpacing/>
    </w:pPr>
  </w:style>
  <w:style w:type="character" w:styleId="Hyperlink">
    <w:name w:val="Hyperlink"/>
    <w:basedOn w:val="a0"/>
    <w:uiPriority w:val="99"/>
    <w:semiHidden/>
    <w:unhideWhenUsed/>
    <w:rsid w:val="00805A7D"/>
    <w:rPr>
      <w:color w:val="0000FF"/>
      <w:u w:val="single"/>
    </w:rPr>
  </w:style>
  <w:style w:type="paragraph" w:customStyle="1" w:styleId="Ruller40">
    <w:name w:val="Ruller4"/>
    <w:basedOn w:val="a"/>
    <w:rsid w:val="00805A7D"/>
    <w:pPr>
      <w:tabs>
        <w:tab w:val="left" w:pos="800"/>
      </w:tabs>
      <w:overflowPunct w:val="0"/>
      <w:autoSpaceDE w:val="0"/>
      <w:autoSpaceDN w:val="0"/>
      <w:adjustRightInd w:val="0"/>
      <w:spacing w:line="360" w:lineRule="auto"/>
      <w:jc w:val="both"/>
    </w:pPr>
    <w:rPr>
      <w:rFonts w:ascii="Arial TUR" w:hAnsi="Arial TUR" w:cs="FrankRuehl"/>
      <w:noProof w:val="0"/>
      <w:spacing w:val="10"/>
      <w:kern w:val="2"/>
      <w:sz w:val="22"/>
      <w:szCs w:val="28"/>
      <w14:ligatures w14:val="standardContextual"/>
    </w:rPr>
  </w:style>
  <w:style w:type="paragraph" w:customStyle="1" w:styleId="Ruller4">
    <w:name w:val="Ruller 4 ממוספר"/>
    <w:basedOn w:val="Ruller40"/>
    <w:next w:val="Ruller40"/>
    <w:rsid w:val="00805A7D"/>
    <w:pPr>
      <w:numPr>
        <w:numId w:val="1"/>
      </w:numPr>
      <w:tabs>
        <w:tab w:val="num" w:pos="360"/>
      </w:tabs>
    </w:pPr>
    <w:rPr>
      <w:rFonts w:ascii="Garamond" w:hAnsi="Garamond"/>
      <w:kern w:val="0"/>
      <w:sz w:val="24"/>
      <w14:ligatures w14:val="none"/>
    </w:rPr>
  </w:style>
  <w:style w:type="table" w:styleId="a4">
    <w:name w:val="Table Grid"/>
    <w:basedOn w:val="a1"/>
    <w:rsid w:val="00805A7D"/>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805A7D"/>
    <w:pPr>
      <w:tabs>
        <w:tab w:val="center" w:pos="4153"/>
        <w:tab w:val="right" w:pos="8306"/>
      </w:tabs>
    </w:pPr>
  </w:style>
  <w:style w:type="character" w:customStyle="1" w:styleId="a6">
    <w:name w:val="כותרת עליונה תו"/>
    <w:basedOn w:val="a0"/>
    <w:link w:val="a5"/>
    <w:semiHidden/>
    <w:rsid w:val="00805A7D"/>
    <w:rPr>
      <w:rFonts w:ascii="Times New Roman" w:eastAsia="Times New Roman" w:hAnsi="Times New Roman" w:cs="David"/>
      <w:noProof/>
      <w:sz w:val="24"/>
      <w:szCs w:val="24"/>
    </w:rPr>
  </w:style>
  <w:style w:type="paragraph" w:styleId="NormalWeb">
    <w:name w:val="Normal (Web)"/>
    <w:basedOn w:val="a"/>
    <w:uiPriority w:val="99"/>
    <w:semiHidden/>
    <w:unhideWhenUsed/>
    <w:rsid w:val="00805A7D"/>
    <w:pPr>
      <w:bidi w:val="0"/>
      <w:spacing w:before="100" w:beforeAutospacing="1" w:after="100" w:afterAutospacing="1"/>
    </w:pPr>
    <w:rPr>
      <w:rFonts w:eastAsiaTheme="minorEastAsia" w:cs="Times New Roman"/>
      <w:noProof w:val="0"/>
    </w:rPr>
  </w:style>
  <w:style w:type="paragraph" w:styleId="a7">
    <w:name w:val="Balloon Text"/>
    <w:basedOn w:val="a"/>
    <w:link w:val="a8"/>
    <w:uiPriority w:val="99"/>
    <w:semiHidden/>
    <w:unhideWhenUsed/>
    <w:rsid w:val="00B43414"/>
    <w:rPr>
      <w:rFonts w:ascii="Tahoma" w:hAnsi="Tahoma" w:cs="Tahoma"/>
      <w:sz w:val="18"/>
      <w:szCs w:val="18"/>
    </w:rPr>
  </w:style>
  <w:style w:type="character" w:customStyle="1" w:styleId="a8">
    <w:name w:val="טקסט בלונים תו"/>
    <w:basedOn w:val="a0"/>
    <w:link w:val="a7"/>
    <w:uiPriority w:val="99"/>
    <w:semiHidden/>
    <w:rsid w:val="00B43414"/>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3346205">
      <w:bodyDiv w:val="1"/>
      <w:marLeft w:val="0"/>
      <w:marRight w:val="0"/>
      <w:marTop w:val="0"/>
      <w:marBottom w:val="0"/>
      <w:divBdr>
        <w:top w:val="none" w:sz="0" w:space="0" w:color="auto"/>
        <w:left w:val="none" w:sz="0" w:space="0" w:color="auto"/>
        <w:bottom w:val="none" w:sz="0" w:space="0" w:color="auto"/>
        <w:right w:val="none" w:sz="0" w:space="0" w:color="auto"/>
      </w:divBdr>
    </w:div>
    <w:div w:id="133595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17945112"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www.nevo.co.il/law/15775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vo.co.il/law/157751/131" TargetMode="External"/><Relationship Id="rId11"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hyperlink" Target="http://www.nevo.co.il/case/20142454" TargetMode="External"/><Relationship Id="rId4" Type="http://schemas.openxmlformats.org/officeDocument/2006/relationships/webSettings" Target="webSettings.xml"/><Relationship Id="rId9" Type="http://schemas.openxmlformats.org/officeDocument/2006/relationships/hyperlink" Target="http://www.nevo.co.il/case/5802206"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734A9F9612E44EC952426071B9EF578"/>
        <w:category>
          <w:name w:val="כללי"/>
          <w:gallery w:val="placeholder"/>
        </w:category>
        <w:types>
          <w:type w:val="bbPlcHdr"/>
        </w:types>
        <w:behaviors>
          <w:behavior w:val="content"/>
        </w:behaviors>
        <w:guid w:val="{BCAAAE13-405B-4AAE-AE6D-A2941BA58062}"/>
      </w:docPartPr>
      <w:docPartBody>
        <w:p w:rsidR="00914F8D" w:rsidRDefault="002377BD" w:rsidP="002377BD">
          <w:pPr>
            <w:pStyle w:val="C734A9F9612E44EC952426071B9EF578"/>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7BD"/>
    <w:rsid w:val="002377BD"/>
    <w:rsid w:val="00450F4B"/>
    <w:rsid w:val="00714B32"/>
    <w:rsid w:val="00914F8D"/>
    <w:rsid w:val="00AD759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734A9F9612E44EC952426071B9EF578">
    <w:name w:val="C734A9F9612E44EC952426071B9EF578"/>
    <w:rsid w:val="002377B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3679</Words>
  <Characters>18400</Characters>
  <Application>Microsoft Office Word</Application>
  <DocSecurity>0</DocSecurity>
  <Lines>153</Lines>
  <Paragraphs>44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cp:lastPrinted>2024-12-23T08:50:00Z</cp:lastPrinted>
  <dcterms:created xsi:type="dcterms:W3CDTF">2024-12-26T08:41:00Z</dcterms:created>
  <dcterms:modified xsi:type="dcterms:W3CDTF">2024-12-26T08:41:00Z</dcterms:modified>
</cp:coreProperties>
</file>